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76DEA" w14:textId="733DCBCE" w:rsidR="00BB3C04" w:rsidRDefault="00000000">
      <w:pPr>
        <w:adjustRightInd w:val="0"/>
        <w:snapToGrid w:val="0"/>
        <w:spacing w:line="440" w:lineRule="exact"/>
        <w:rPr>
          <w:rFonts w:ascii="仿宋_GB2312" w:eastAsia="仿宋_GB2312" w:hint="eastAsia"/>
          <w:color w:val="000000"/>
          <w:kern w:val="0"/>
          <w:sz w:val="28"/>
          <w:szCs w:val="28"/>
          <w:lang w:eastAsia="zh-Hans"/>
        </w:rPr>
      </w:pPr>
      <w:r>
        <w:rPr>
          <w:rFonts w:ascii="仿宋_GB2312" w:eastAsia="仿宋_GB2312" w:hint="eastAsia"/>
          <w:color w:val="000000"/>
          <w:kern w:val="0"/>
          <w:sz w:val="28"/>
          <w:szCs w:val="28"/>
        </w:rPr>
        <w:t>奖项类别：</w:t>
      </w:r>
      <w:r>
        <w:rPr>
          <w:rFonts w:ascii="仿宋_GB2312" w:eastAsia="仿宋_GB2312" w:hint="eastAsia"/>
          <w:color w:val="000000"/>
          <w:kern w:val="0"/>
          <w:sz w:val="28"/>
          <w:szCs w:val="28"/>
          <w:lang w:eastAsia="zh-Hans"/>
        </w:rPr>
        <w:t>科学技术奖</w:t>
      </w:r>
    </w:p>
    <w:p w14:paraId="4E454EFB" w14:textId="24C092E0" w:rsidR="00BB3C04" w:rsidRPr="00566686" w:rsidRDefault="00000000">
      <w:pPr>
        <w:adjustRightInd w:val="0"/>
        <w:snapToGrid w:val="0"/>
        <w:spacing w:line="440" w:lineRule="exact"/>
        <w:rPr>
          <w:rFonts w:eastAsia="仿宋" w:hint="eastAsia"/>
          <w:bCs/>
          <w:sz w:val="28"/>
          <w:szCs w:val="28"/>
        </w:rPr>
      </w:pPr>
      <w:r>
        <w:rPr>
          <w:rFonts w:ascii="仿宋_GB2312" w:eastAsia="仿宋_GB2312" w:hint="eastAsia"/>
          <w:color w:val="000000"/>
          <w:kern w:val="0"/>
          <w:sz w:val="28"/>
          <w:szCs w:val="28"/>
        </w:rPr>
        <w:t>项目名称（或候选人姓名）：</w:t>
      </w:r>
      <w:r>
        <w:rPr>
          <w:rFonts w:eastAsia="仿宋" w:hint="eastAsia"/>
          <w:bCs/>
          <w:sz w:val="28"/>
          <w:szCs w:val="28"/>
        </w:rPr>
        <w:t>病毒性心肌炎免疫细胞分化调控新靶点与新机制</w:t>
      </w:r>
    </w:p>
    <w:p w14:paraId="53F3E573" w14:textId="77777777" w:rsidR="00BB3C04" w:rsidRDefault="00000000">
      <w:pPr>
        <w:adjustRightInd w:val="0"/>
        <w:snapToGrid w:val="0"/>
        <w:spacing w:line="440" w:lineRule="exact"/>
        <w:rPr>
          <w:rFonts w:ascii="仿宋_GB2312" w:eastAsia="仿宋_GB2312"/>
          <w:color w:val="000000"/>
          <w:kern w:val="0"/>
          <w:sz w:val="28"/>
          <w:szCs w:val="28"/>
          <w:lang w:eastAsia="zh-Hans"/>
        </w:rPr>
      </w:pPr>
      <w:r>
        <w:rPr>
          <w:rFonts w:ascii="仿宋_GB2312" w:eastAsia="仿宋_GB2312" w:hint="eastAsia"/>
          <w:color w:val="000000"/>
          <w:kern w:val="0"/>
          <w:sz w:val="28"/>
          <w:szCs w:val="28"/>
        </w:rPr>
        <w:t>主要完成人（含排序）：</w:t>
      </w:r>
      <w:r>
        <w:rPr>
          <w:rFonts w:ascii="仿宋_GB2312" w:eastAsia="仿宋_GB2312" w:hint="eastAsia"/>
          <w:color w:val="000000"/>
          <w:kern w:val="0"/>
          <w:sz w:val="28"/>
          <w:szCs w:val="28"/>
          <w:lang w:eastAsia="zh-Hans"/>
        </w:rPr>
        <w:t>吕坤</w:t>
      </w:r>
      <w:r>
        <w:rPr>
          <w:rFonts w:ascii="仿宋_GB2312" w:eastAsia="仿宋_GB2312"/>
          <w:color w:val="000000"/>
          <w:kern w:val="0"/>
          <w:sz w:val="28"/>
          <w:szCs w:val="28"/>
          <w:lang w:eastAsia="zh-Hans"/>
        </w:rPr>
        <w:t>，</w:t>
      </w:r>
      <w:r>
        <w:rPr>
          <w:rFonts w:ascii="仿宋_GB2312" w:eastAsia="仿宋_GB2312" w:hint="eastAsia"/>
          <w:color w:val="000000"/>
          <w:kern w:val="0"/>
          <w:sz w:val="28"/>
          <w:szCs w:val="28"/>
          <w:lang w:eastAsia="zh-Hans"/>
        </w:rPr>
        <w:t>裴纬亚</w:t>
      </w:r>
      <w:r>
        <w:rPr>
          <w:rFonts w:ascii="仿宋_GB2312" w:eastAsia="仿宋_GB2312"/>
          <w:color w:val="000000"/>
          <w:kern w:val="0"/>
          <w:sz w:val="28"/>
          <w:szCs w:val="28"/>
          <w:lang w:eastAsia="zh-Hans"/>
        </w:rPr>
        <w:t>，</w:t>
      </w:r>
      <w:r>
        <w:rPr>
          <w:rFonts w:ascii="仿宋_GB2312" w:eastAsia="仿宋_GB2312" w:hint="eastAsia"/>
          <w:color w:val="000000"/>
          <w:kern w:val="0"/>
          <w:sz w:val="28"/>
          <w:szCs w:val="28"/>
          <w:lang w:eastAsia="zh-Hans"/>
        </w:rPr>
        <w:t>张莺莺</w:t>
      </w:r>
      <w:r>
        <w:rPr>
          <w:rFonts w:ascii="仿宋_GB2312" w:eastAsia="仿宋_GB2312"/>
          <w:color w:val="000000"/>
          <w:kern w:val="0"/>
          <w:sz w:val="28"/>
          <w:szCs w:val="28"/>
          <w:lang w:eastAsia="zh-Hans"/>
        </w:rPr>
        <w:t>，</w:t>
      </w:r>
      <w:r>
        <w:rPr>
          <w:rFonts w:ascii="仿宋_GB2312" w:eastAsia="仿宋_GB2312" w:hint="eastAsia"/>
          <w:color w:val="000000"/>
          <w:kern w:val="0"/>
          <w:sz w:val="28"/>
          <w:szCs w:val="28"/>
          <w:lang w:eastAsia="zh-Hans"/>
        </w:rPr>
        <w:t>李雪琴</w:t>
      </w:r>
      <w:r>
        <w:rPr>
          <w:rFonts w:ascii="仿宋_GB2312" w:eastAsia="仿宋_GB2312"/>
          <w:color w:val="000000"/>
          <w:kern w:val="0"/>
          <w:sz w:val="28"/>
          <w:szCs w:val="28"/>
          <w:lang w:eastAsia="zh-Hans"/>
        </w:rPr>
        <w:t>，</w:t>
      </w:r>
      <w:r>
        <w:rPr>
          <w:rFonts w:ascii="仿宋_GB2312" w:eastAsia="仿宋_GB2312" w:hint="eastAsia"/>
          <w:color w:val="000000"/>
          <w:kern w:val="0"/>
          <w:sz w:val="28"/>
          <w:szCs w:val="28"/>
          <w:lang w:eastAsia="zh-Hans"/>
        </w:rPr>
        <w:t>朱小龙</w:t>
      </w:r>
      <w:r>
        <w:rPr>
          <w:rFonts w:ascii="仿宋_GB2312" w:eastAsia="仿宋_GB2312"/>
          <w:color w:val="000000"/>
          <w:kern w:val="0"/>
          <w:sz w:val="28"/>
          <w:szCs w:val="28"/>
          <w:lang w:eastAsia="zh-Hans"/>
        </w:rPr>
        <w:t>，</w:t>
      </w:r>
      <w:r>
        <w:rPr>
          <w:rFonts w:ascii="仿宋_GB2312" w:eastAsia="仿宋_GB2312" w:hint="eastAsia"/>
          <w:color w:val="000000"/>
          <w:kern w:val="0"/>
          <w:sz w:val="28"/>
          <w:szCs w:val="28"/>
          <w:lang w:eastAsia="zh-Hans"/>
        </w:rPr>
        <w:t>杨辉</w:t>
      </w:r>
      <w:r>
        <w:rPr>
          <w:rFonts w:ascii="仿宋_GB2312" w:eastAsia="仿宋_GB2312"/>
          <w:color w:val="000000"/>
          <w:kern w:val="0"/>
          <w:sz w:val="28"/>
          <w:szCs w:val="28"/>
          <w:lang w:eastAsia="zh-Hans"/>
        </w:rPr>
        <w:t>，</w:t>
      </w:r>
      <w:r>
        <w:rPr>
          <w:rFonts w:ascii="仿宋_GB2312" w:eastAsia="仿宋_GB2312" w:hint="eastAsia"/>
          <w:color w:val="000000"/>
          <w:kern w:val="0"/>
          <w:sz w:val="28"/>
          <w:szCs w:val="28"/>
          <w:lang w:eastAsia="zh-Hans"/>
        </w:rPr>
        <w:t>钟民</w:t>
      </w:r>
      <w:r>
        <w:rPr>
          <w:rFonts w:ascii="仿宋_GB2312" w:eastAsia="仿宋_GB2312"/>
          <w:color w:val="000000"/>
          <w:kern w:val="0"/>
          <w:sz w:val="28"/>
          <w:szCs w:val="28"/>
          <w:lang w:eastAsia="zh-Hans"/>
        </w:rPr>
        <w:t>，</w:t>
      </w:r>
      <w:r>
        <w:rPr>
          <w:rFonts w:ascii="仿宋_GB2312" w:eastAsia="仿宋_GB2312" w:hint="eastAsia"/>
          <w:color w:val="000000"/>
          <w:kern w:val="0"/>
          <w:sz w:val="28"/>
          <w:szCs w:val="28"/>
          <w:lang w:eastAsia="zh-Hans"/>
        </w:rPr>
        <w:t>张梦莹</w:t>
      </w:r>
    </w:p>
    <w:p w14:paraId="693D0ED1" w14:textId="0ACF6ABA" w:rsidR="00BB3C04" w:rsidRPr="00566686" w:rsidRDefault="00000000">
      <w:pPr>
        <w:adjustRightInd w:val="0"/>
        <w:snapToGrid w:val="0"/>
        <w:spacing w:line="440" w:lineRule="exact"/>
        <w:rPr>
          <w:rFonts w:ascii="仿宋_GB2312" w:eastAsia="仿宋_GB2312" w:hint="eastAsia"/>
          <w:color w:val="000000"/>
          <w:kern w:val="0"/>
          <w:sz w:val="28"/>
          <w:szCs w:val="28"/>
          <w:lang w:eastAsia="zh-Hans"/>
        </w:rPr>
      </w:pPr>
      <w:r>
        <w:rPr>
          <w:rFonts w:ascii="仿宋_GB2312" w:eastAsia="仿宋_GB2312" w:hint="eastAsia"/>
          <w:color w:val="000000"/>
          <w:kern w:val="0"/>
          <w:sz w:val="28"/>
          <w:szCs w:val="28"/>
        </w:rPr>
        <w:t xml:space="preserve">主要完成单位（含排序）： </w:t>
      </w:r>
      <w:r>
        <w:rPr>
          <w:rFonts w:ascii="仿宋_GB2312" w:eastAsia="仿宋_GB2312" w:hint="eastAsia"/>
          <w:color w:val="000000"/>
          <w:kern w:val="0"/>
          <w:sz w:val="28"/>
          <w:szCs w:val="28"/>
          <w:lang w:eastAsia="zh-Hans"/>
        </w:rPr>
        <w:t>皖南医学院</w:t>
      </w:r>
    </w:p>
    <w:p w14:paraId="666E5CE3" w14:textId="77777777" w:rsidR="00BB3C04" w:rsidRDefault="00000000">
      <w:pPr>
        <w:spacing w:line="360" w:lineRule="auto"/>
        <w:rPr>
          <w:rFonts w:ascii="仿宋_GB2312" w:eastAsia="仿宋_GB2312"/>
          <w:color w:val="000000"/>
          <w:kern w:val="0"/>
          <w:sz w:val="28"/>
          <w:szCs w:val="28"/>
        </w:rPr>
      </w:pPr>
      <w:r>
        <w:rPr>
          <w:rFonts w:ascii="仿宋_GB2312" w:eastAsia="仿宋_GB2312" w:hint="eastAsia"/>
          <w:color w:val="000000"/>
          <w:kern w:val="0"/>
          <w:sz w:val="28"/>
          <w:szCs w:val="28"/>
        </w:rPr>
        <w:t xml:space="preserve">项目简介（或候选人科技成就和贡献简介）： </w:t>
      </w:r>
    </w:p>
    <w:p w14:paraId="32EE5F0F" w14:textId="77777777" w:rsidR="00BB3C04" w:rsidRDefault="00000000">
      <w:pPr>
        <w:spacing w:line="360" w:lineRule="auto"/>
        <w:ind w:firstLineChars="200" w:firstLine="480"/>
        <w:rPr>
          <w:rFonts w:ascii="宋体" w:hAnsi="宋体" w:cs="宋体"/>
          <w:sz w:val="24"/>
          <w:szCs w:val="24"/>
        </w:rPr>
      </w:pPr>
      <w:r>
        <w:rPr>
          <w:rFonts w:ascii="宋体" w:hAnsi="宋体" w:cs="宋体" w:hint="eastAsia"/>
          <w:sz w:val="24"/>
          <w:szCs w:val="24"/>
        </w:rPr>
        <w:t>病毒性心肌炎的发生是一个多因素参与的复杂过程，除病毒直接破坏作用外，宿主免疫应答诱导的</w:t>
      </w:r>
      <w:r>
        <w:rPr>
          <w:rFonts w:ascii="宋体" w:hAnsi="宋体" w:cs="宋体" w:hint="eastAsia"/>
          <w:sz w:val="24"/>
          <w:szCs w:val="24"/>
          <w:lang w:eastAsia="zh-Hans"/>
        </w:rPr>
        <w:t>免疫</w:t>
      </w:r>
      <w:r>
        <w:rPr>
          <w:rFonts w:ascii="宋体" w:hAnsi="宋体" w:cs="宋体" w:hint="eastAsia"/>
          <w:sz w:val="24"/>
          <w:szCs w:val="24"/>
        </w:rPr>
        <w:t>细胞</w:t>
      </w:r>
      <w:r>
        <w:rPr>
          <w:rFonts w:ascii="宋体" w:hAnsi="宋体" w:cs="宋体" w:hint="eastAsia"/>
          <w:sz w:val="24"/>
          <w:szCs w:val="24"/>
          <w:lang w:eastAsia="zh-Hans"/>
        </w:rPr>
        <w:t>异常分化</w:t>
      </w:r>
      <w:r>
        <w:rPr>
          <w:rFonts w:ascii="宋体" w:hAnsi="宋体" w:cs="宋体" w:hint="eastAsia"/>
          <w:sz w:val="24"/>
          <w:szCs w:val="24"/>
        </w:rPr>
        <w:t>在病毒性心肌炎发病过程中发挥关键作用</w:t>
      </w:r>
      <w:r>
        <w:rPr>
          <w:rFonts w:ascii="宋体" w:hAnsi="宋体" w:cs="宋体"/>
          <w:sz w:val="24"/>
          <w:szCs w:val="24"/>
        </w:rPr>
        <w:t>，</w:t>
      </w:r>
      <w:r>
        <w:rPr>
          <w:rFonts w:ascii="宋体" w:hAnsi="宋体" w:cs="宋体" w:hint="eastAsia"/>
          <w:sz w:val="24"/>
          <w:szCs w:val="24"/>
          <w:lang w:eastAsia="zh-Hans"/>
        </w:rPr>
        <w:t>是</w:t>
      </w:r>
      <w:r>
        <w:rPr>
          <w:rFonts w:ascii="宋体" w:hAnsi="宋体" w:cs="宋体" w:hint="eastAsia"/>
          <w:sz w:val="24"/>
          <w:szCs w:val="24"/>
        </w:rPr>
        <w:t>导致患者病情急剧恶化的重要病理生理机制</w:t>
      </w:r>
      <w:r>
        <w:rPr>
          <w:rFonts w:ascii="宋体" w:hAnsi="宋体" w:cs="宋体"/>
          <w:sz w:val="24"/>
          <w:szCs w:val="24"/>
        </w:rPr>
        <w:t>。</w:t>
      </w:r>
      <w:r>
        <w:rPr>
          <w:rFonts w:ascii="宋体" w:hAnsi="宋体" w:cs="宋体" w:hint="eastAsia"/>
          <w:sz w:val="24"/>
          <w:szCs w:val="24"/>
          <w:lang w:eastAsia="zh-Hans"/>
        </w:rPr>
        <w:t>因此</w:t>
      </w:r>
      <w:r>
        <w:rPr>
          <w:rFonts w:ascii="宋体" w:hAnsi="宋体" w:cs="宋体"/>
          <w:sz w:val="24"/>
          <w:szCs w:val="24"/>
          <w:lang w:eastAsia="zh-Hans"/>
        </w:rPr>
        <w:t>，</w:t>
      </w:r>
      <w:r>
        <w:rPr>
          <w:rFonts w:ascii="宋体" w:hAnsi="宋体" w:cs="宋体" w:hint="eastAsia"/>
          <w:b/>
          <w:bCs/>
          <w:sz w:val="24"/>
          <w:szCs w:val="24"/>
        </w:rPr>
        <w:t>解析基于病毒性心肌</w:t>
      </w:r>
      <w:r>
        <w:rPr>
          <w:rFonts w:ascii="宋体" w:hAnsi="宋体" w:cs="宋体" w:hint="eastAsia"/>
          <w:sz w:val="24"/>
          <w:szCs w:val="24"/>
        </w:rPr>
        <w:t>炎</w:t>
      </w:r>
      <w:r>
        <w:rPr>
          <w:rFonts w:ascii="宋体" w:hAnsi="宋体" w:cs="宋体" w:hint="eastAsia"/>
          <w:b/>
          <w:bCs/>
          <w:sz w:val="24"/>
          <w:szCs w:val="24"/>
        </w:rPr>
        <w:t>免疫细胞</w:t>
      </w:r>
      <w:r>
        <w:rPr>
          <w:rFonts w:ascii="宋体" w:hAnsi="宋体" w:cs="宋体" w:hint="eastAsia"/>
          <w:b/>
          <w:bCs/>
          <w:sz w:val="24"/>
          <w:szCs w:val="24"/>
          <w:lang w:eastAsia="zh-Hans"/>
        </w:rPr>
        <w:t>分化</w:t>
      </w:r>
      <w:r>
        <w:rPr>
          <w:rFonts w:ascii="宋体" w:hAnsi="宋体" w:cs="宋体" w:hint="eastAsia"/>
          <w:b/>
          <w:bCs/>
          <w:sz w:val="24"/>
          <w:szCs w:val="24"/>
        </w:rPr>
        <w:t>调控</w:t>
      </w:r>
      <w:r>
        <w:rPr>
          <w:rFonts w:ascii="宋体" w:hAnsi="宋体" w:cs="宋体" w:hint="eastAsia"/>
          <w:b/>
          <w:bCs/>
          <w:sz w:val="24"/>
          <w:szCs w:val="24"/>
          <w:lang w:eastAsia="zh-Hans"/>
        </w:rPr>
        <w:t>的新靶点与新</w:t>
      </w:r>
      <w:r>
        <w:rPr>
          <w:rFonts w:ascii="宋体" w:hAnsi="宋体" w:cs="宋体" w:hint="eastAsia"/>
          <w:b/>
          <w:bCs/>
          <w:sz w:val="24"/>
          <w:szCs w:val="24"/>
        </w:rPr>
        <w:t>机制是重大科学问题</w:t>
      </w:r>
      <w:r>
        <w:rPr>
          <w:rFonts w:ascii="宋体" w:hAnsi="宋体" w:cs="宋体" w:hint="eastAsia"/>
          <w:sz w:val="24"/>
          <w:szCs w:val="24"/>
        </w:rPr>
        <w:t xml:space="preserve">。 </w:t>
      </w:r>
    </w:p>
    <w:p w14:paraId="7DC1A02E" w14:textId="77777777" w:rsidR="00BB3C04" w:rsidRDefault="00000000">
      <w:pPr>
        <w:spacing w:line="360" w:lineRule="auto"/>
        <w:ind w:firstLineChars="200" w:firstLine="480"/>
        <w:rPr>
          <w:b/>
          <w:bCs/>
          <w:color w:val="000000"/>
          <w:sz w:val="24"/>
          <w:szCs w:val="24"/>
        </w:rPr>
      </w:pPr>
      <w:r>
        <w:rPr>
          <w:rFonts w:ascii="宋体" w:hAnsi="宋体" w:cs="宋体" w:hint="eastAsia"/>
          <w:sz w:val="24"/>
          <w:szCs w:val="24"/>
        </w:rPr>
        <w:t>本项目在4项国家自然科学基金及</w:t>
      </w:r>
      <w:r>
        <w:rPr>
          <w:rFonts w:ascii="宋体" w:hAnsi="宋体" w:cs="宋体"/>
          <w:sz w:val="24"/>
          <w:szCs w:val="24"/>
        </w:rPr>
        <w:t>1</w:t>
      </w:r>
      <w:r>
        <w:rPr>
          <w:rFonts w:ascii="宋体" w:hAnsi="宋体" w:cs="宋体" w:hint="eastAsia"/>
          <w:sz w:val="24"/>
          <w:szCs w:val="24"/>
        </w:rPr>
        <w:t>项省级科研项目支持下，聚焦病毒性心肌炎细胞免疫</w:t>
      </w:r>
      <w:r>
        <w:rPr>
          <w:rFonts w:ascii="宋体" w:hAnsi="宋体" w:cs="宋体" w:hint="eastAsia"/>
          <w:sz w:val="24"/>
          <w:szCs w:val="24"/>
          <w:lang w:eastAsia="zh-Hans"/>
        </w:rPr>
        <w:t>细胞分化</w:t>
      </w:r>
      <w:r>
        <w:rPr>
          <w:rFonts w:ascii="宋体" w:hAnsi="宋体" w:cs="宋体" w:hint="eastAsia"/>
          <w:sz w:val="24"/>
          <w:szCs w:val="24"/>
        </w:rPr>
        <w:t>调控</w:t>
      </w:r>
      <w:r>
        <w:rPr>
          <w:rFonts w:ascii="宋体" w:hAnsi="宋体" w:cs="宋体" w:hint="eastAsia"/>
          <w:sz w:val="24"/>
          <w:szCs w:val="24"/>
          <w:lang w:eastAsia="zh-Hans"/>
        </w:rPr>
        <w:t>的新</w:t>
      </w:r>
      <w:r>
        <w:rPr>
          <w:rFonts w:ascii="宋体" w:hAnsi="宋体" w:cs="宋体" w:hint="eastAsia"/>
          <w:sz w:val="24"/>
          <w:szCs w:val="24"/>
        </w:rPr>
        <w:t>机制研究，</w:t>
      </w:r>
      <w:r>
        <w:rPr>
          <w:rFonts w:ascii="宋体" w:hAnsi="宋体" w:cs="宋体" w:hint="eastAsia"/>
          <w:sz w:val="24"/>
          <w:szCs w:val="24"/>
          <w:lang w:eastAsia="zh-Hans"/>
        </w:rPr>
        <w:t>不仅</w:t>
      </w:r>
      <w:r>
        <w:rPr>
          <w:rFonts w:ascii="宋体" w:hAnsi="宋体" w:cs="宋体" w:hint="eastAsia"/>
          <w:sz w:val="24"/>
          <w:szCs w:val="24"/>
        </w:rPr>
        <w:t>对病毒性心肌炎炎症反应中巨噬细胞差异性极化及</w:t>
      </w:r>
      <w:r>
        <w:rPr>
          <w:rFonts w:ascii="Times New Roman Regular" w:hAnsi="Times New Roman Regular" w:cs="Times New Roman Regular"/>
          <w:sz w:val="24"/>
          <w:szCs w:val="24"/>
        </w:rPr>
        <w:t>CD4</w:t>
      </w:r>
      <w:r>
        <w:rPr>
          <w:rFonts w:ascii="Times New Roman Regular" w:hAnsi="Times New Roman Regular" w:cs="Times New Roman Regular"/>
          <w:sz w:val="24"/>
          <w:szCs w:val="24"/>
          <w:vertAlign w:val="superscript"/>
        </w:rPr>
        <w:t xml:space="preserve">+ </w:t>
      </w:r>
      <w:r>
        <w:rPr>
          <w:rFonts w:ascii="Times New Roman Regular" w:hAnsi="Times New Roman Regular" w:cs="Times New Roman Regular"/>
          <w:sz w:val="24"/>
          <w:szCs w:val="24"/>
        </w:rPr>
        <w:t>T</w:t>
      </w:r>
      <w:r>
        <w:rPr>
          <w:rFonts w:ascii="宋体" w:hAnsi="宋体" w:cs="宋体" w:hint="eastAsia"/>
          <w:sz w:val="24"/>
          <w:szCs w:val="24"/>
        </w:rPr>
        <w:t>细胞亚群分化的调控靶点、分子机制</w:t>
      </w:r>
      <w:r>
        <w:rPr>
          <w:rFonts w:ascii="宋体" w:hAnsi="宋体" w:cs="宋体" w:hint="eastAsia"/>
          <w:sz w:val="24"/>
          <w:szCs w:val="24"/>
          <w:lang w:eastAsia="zh-Hans"/>
        </w:rPr>
        <w:t>进行了</w:t>
      </w:r>
      <w:r>
        <w:rPr>
          <w:rFonts w:ascii="宋体" w:hAnsi="宋体" w:cs="宋体" w:hint="eastAsia"/>
          <w:sz w:val="24"/>
          <w:szCs w:val="24"/>
        </w:rPr>
        <w:t>系统</w:t>
      </w:r>
      <w:r>
        <w:rPr>
          <w:rFonts w:ascii="宋体" w:hAnsi="宋体" w:cs="宋体" w:hint="eastAsia"/>
          <w:sz w:val="24"/>
          <w:szCs w:val="24"/>
          <w:lang w:eastAsia="zh-Hans"/>
        </w:rPr>
        <w:t>研究</w:t>
      </w:r>
      <w:r>
        <w:rPr>
          <w:rFonts w:ascii="宋体" w:hAnsi="宋体" w:cs="宋体"/>
          <w:sz w:val="24"/>
          <w:szCs w:val="24"/>
        </w:rPr>
        <w:t>，</w:t>
      </w:r>
      <w:r>
        <w:rPr>
          <w:rFonts w:ascii="宋体" w:hAnsi="宋体" w:cs="宋体" w:hint="eastAsia"/>
          <w:sz w:val="24"/>
          <w:szCs w:val="24"/>
          <w:lang w:eastAsia="zh-Hans"/>
        </w:rPr>
        <w:t>还</w:t>
      </w:r>
      <w:r>
        <w:rPr>
          <w:rFonts w:ascii="Times New Roman Regular" w:hAnsi="Times New Roman Regular" w:cs="Times New Roman Regular"/>
          <w:color w:val="000000"/>
          <w:sz w:val="24"/>
        </w:rPr>
        <w:t>开发了可高效诊断</w:t>
      </w:r>
      <w:r>
        <w:rPr>
          <w:rFonts w:ascii="Times New Roman Regular" w:hAnsi="Times New Roman Regular" w:cs="Times New Roman Regular"/>
          <w:color w:val="000000"/>
          <w:sz w:val="24"/>
          <w:szCs w:val="24"/>
        </w:rPr>
        <w:t>暴发性</w:t>
      </w:r>
      <w:r>
        <w:rPr>
          <w:rFonts w:ascii="Times New Roman Regular" w:hAnsi="Times New Roman Regular" w:cs="Times New Roman Regular"/>
          <w:color w:val="000000"/>
          <w:sz w:val="24"/>
        </w:rPr>
        <w:t>心肌炎的外</w:t>
      </w:r>
      <w:proofErr w:type="gramStart"/>
      <w:r>
        <w:rPr>
          <w:rFonts w:ascii="Times New Roman Regular" w:hAnsi="Times New Roman Regular" w:cs="Times New Roman Regular"/>
          <w:color w:val="000000"/>
          <w:sz w:val="24"/>
        </w:rPr>
        <w:t>泌</w:t>
      </w:r>
      <w:proofErr w:type="gramEnd"/>
      <w:r>
        <w:rPr>
          <w:rFonts w:ascii="Times New Roman Regular" w:hAnsi="Times New Roman Regular" w:cs="Times New Roman Regular"/>
          <w:color w:val="000000"/>
          <w:sz w:val="24"/>
        </w:rPr>
        <w:t>体液体活检方案，</w:t>
      </w:r>
      <w:r>
        <w:rPr>
          <w:rFonts w:ascii="Times New Roman Regular" w:hAnsi="Times New Roman Regular" w:cs="Times New Roman Regular"/>
          <w:sz w:val="24"/>
        </w:rPr>
        <w:t>加速了病毒性心肌炎基础研究成果向临床转化的步伐。</w:t>
      </w:r>
      <w:r>
        <w:rPr>
          <w:b/>
          <w:bCs/>
          <w:color w:val="000000"/>
          <w:sz w:val="24"/>
          <w:szCs w:val="24"/>
        </w:rPr>
        <w:t>主要科学发现点具体如下：</w:t>
      </w:r>
    </w:p>
    <w:p w14:paraId="082B0DD5" w14:textId="77777777" w:rsidR="00BB3C04" w:rsidRDefault="00000000">
      <w:pPr>
        <w:autoSpaceDE w:val="0"/>
        <w:autoSpaceDN w:val="0"/>
        <w:adjustRightInd w:val="0"/>
        <w:spacing w:line="360" w:lineRule="auto"/>
        <w:rPr>
          <w:color w:val="000000"/>
          <w:sz w:val="24"/>
          <w:szCs w:val="24"/>
        </w:rPr>
      </w:pPr>
      <w:r>
        <w:rPr>
          <w:color w:val="000000"/>
          <w:sz w:val="24"/>
          <w:szCs w:val="24"/>
        </w:rPr>
        <w:t>1</w:t>
      </w:r>
      <w:r>
        <w:rPr>
          <w:color w:val="000000"/>
          <w:sz w:val="24"/>
          <w:szCs w:val="24"/>
        </w:rPr>
        <w:t>、</w:t>
      </w:r>
      <w:r>
        <w:rPr>
          <w:rFonts w:hint="eastAsia"/>
          <w:color w:val="000000"/>
          <w:sz w:val="24"/>
          <w:szCs w:val="24"/>
          <w:lang w:eastAsia="zh-Hans"/>
        </w:rPr>
        <w:t>基于</w:t>
      </w:r>
      <w:r>
        <w:rPr>
          <w:color w:val="000000"/>
          <w:sz w:val="24"/>
          <w:szCs w:val="24"/>
        </w:rPr>
        <w:t>病毒性心肌炎心脏浸润巨噬细胞差异性极化的调控机制这一关键科学问题，</w:t>
      </w:r>
      <w:r>
        <w:rPr>
          <w:b/>
          <w:bCs/>
          <w:color w:val="000000"/>
          <w:sz w:val="24"/>
          <w:szCs w:val="24"/>
        </w:rPr>
        <w:t>发现并鉴定了调控巨噬细胞极化的关键功能性非编码</w:t>
      </w:r>
      <w:r>
        <w:rPr>
          <w:b/>
          <w:bCs/>
          <w:color w:val="000000"/>
          <w:sz w:val="24"/>
          <w:szCs w:val="24"/>
        </w:rPr>
        <w:t>RNA</w:t>
      </w:r>
      <w:r>
        <w:rPr>
          <w:color w:val="000000"/>
          <w:sz w:val="24"/>
          <w:szCs w:val="24"/>
        </w:rPr>
        <w:t>，并阐明其在病毒性心肌炎进程中的作用及详细分子机制，其中在长链非编码</w:t>
      </w:r>
      <w:r>
        <w:rPr>
          <w:color w:val="000000"/>
          <w:sz w:val="24"/>
          <w:szCs w:val="24"/>
        </w:rPr>
        <w:t xml:space="preserve"> RNA</w:t>
      </w:r>
      <w:r>
        <w:rPr>
          <w:color w:val="000000"/>
          <w:sz w:val="24"/>
          <w:szCs w:val="24"/>
        </w:rPr>
        <w:t>（</w:t>
      </w:r>
      <w:r>
        <w:rPr>
          <w:color w:val="000000"/>
          <w:sz w:val="24"/>
          <w:szCs w:val="24"/>
        </w:rPr>
        <w:t>lncRNA</w:t>
      </w:r>
      <w:r>
        <w:rPr>
          <w:color w:val="000000"/>
          <w:sz w:val="24"/>
          <w:szCs w:val="24"/>
        </w:rPr>
        <w:t>）及环状</w:t>
      </w:r>
      <w:r>
        <w:rPr>
          <w:color w:val="000000"/>
          <w:sz w:val="24"/>
          <w:szCs w:val="24"/>
        </w:rPr>
        <w:t xml:space="preserve"> RNA</w:t>
      </w:r>
      <w:r>
        <w:rPr>
          <w:color w:val="000000"/>
          <w:sz w:val="24"/>
          <w:szCs w:val="24"/>
        </w:rPr>
        <w:t>（</w:t>
      </w:r>
      <w:proofErr w:type="spellStart"/>
      <w:r>
        <w:rPr>
          <w:color w:val="000000"/>
          <w:sz w:val="24"/>
          <w:szCs w:val="24"/>
        </w:rPr>
        <w:t>circRNA</w:t>
      </w:r>
      <w:proofErr w:type="spellEnd"/>
      <w:r>
        <w:rPr>
          <w:color w:val="000000"/>
          <w:sz w:val="24"/>
          <w:szCs w:val="24"/>
        </w:rPr>
        <w:t>）研究方面均为</w:t>
      </w:r>
      <w:r>
        <w:rPr>
          <w:b/>
          <w:bCs/>
          <w:color w:val="000000"/>
          <w:sz w:val="24"/>
          <w:szCs w:val="24"/>
        </w:rPr>
        <w:t>国内外首次报道</w:t>
      </w:r>
      <w:r>
        <w:rPr>
          <w:color w:val="000000"/>
          <w:sz w:val="24"/>
          <w:szCs w:val="24"/>
        </w:rPr>
        <w:t>。</w:t>
      </w:r>
    </w:p>
    <w:p w14:paraId="76BE6770" w14:textId="77777777" w:rsidR="00BB3C04" w:rsidRDefault="00000000">
      <w:pPr>
        <w:autoSpaceDE w:val="0"/>
        <w:autoSpaceDN w:val="0"/>
        <w:adjustRightInd w:val="0"/>
        <w:spacing w:line="360" w:lineRule="auto"/>
        <w:rPr>
          <w:color w:val="000000"/>
          <w:sz w:val="24"/>
          <w:szCs w:val="24"/>
        </w:rPr>
      </w:pPr>
      <w:r>
        <w:rPr>
          <w:color w:val="000000"/>
          <w:sz w:val="24"/>
          <w:szCs w:val="24"/>
        </w:rPr>
        <w:t>2</w:t>
      </w:r>
      <w:r>
        <w:rPr>
          <w:color w:val="000000"/>
          <w:sz w:val="24"/>
          <w:szCs w:val="24"/>
        </w:rPr>
        <w:t>、</w:t>
      </w:r>
      <w:r>
        <w:rPr>
          <w:rFonts w:hint="eastAsia"/>
          <w:color w:val="000000"/>
          <w:sz w:val="24"/>
          <w:szCs w:val="24"/>
          <w:lang w:eastAsia="zh-Hans"/>
        </w:rPr>
        <w:t>基于</w:t>
      </w:r>
      <w:r>
        <w:rPr>
          <w:color w:val="000000"/>
          <w:sz w:val="24"/>
          <w:szCs w:val="24"/>
        </w:rPr>
        <w:t>病毒性心肌炎心脏浸润</w:t>
      </w:r>
      <w:r>
        <w:rPr>
          <w:color w:val="000000"/>
          <w:sz w:val="24"/>
          <w:szCs w:val="24"/>
        </w:rPr>
        <w:t xml:space="preserve"> CD4</w:t>
      </w:r>
      <w:r>
        <w:rPr>
          <w:color w:val="000000"/>
          <w:sz w:val="24"/>
          <w:szCs w:val="24"/>
          <w:vertAlign w:val="superscript"/>
        </w:rPr>
        <w:t xml:space="preserve">+ </w:t>
      </w:r>
      <w:r>
        <w:rPr>
          <w:color w:val="000000"/>
          <w:sz w:val="24"/>
          <w:szCs w:val="24"/>
        </w:rPr>
        <w:t xml:space="preserve">T </w:t>
      </w:r>
      <w:r>
        <w:rPr>
          <w:color w:val="000000"/>
          <w:sz w:val="24"/>
          <w:szCs w:val="24"/>
        </w:rPr>
        <w:t>细胞亚群</w:t>
      </w:r>
      <w:r>
        <w:rPr>
          <w:rFonts w:hint="eastAsia"/>
          <w:color w:val="000000"/>
          <w:sz w:val="24"/>
          <w:szCs w:val="24"/>
          <w:lang w:eastAsia="zh-Hans"/>
        </w:rPr>
        <w:t>分化</w:t>
      </w:r>
      <w:r>
        <w:rPr>
          <w:color w:val="000000"/>
          <w:sz w:val="24"/>
          <w:szCs w:val="24"/>
        </w:rPr>
        <w:t>失衡，证实半乳糖结合凝集素</w:t>
      </w:r>
      <w:r>
        <w:rPr>
          <w:color w:val="000000"/>
          <w:sz w:val="24"/>
          <w:szCs w:val="24"/>
        </w:rPr>
        <w:t>9</w:t>
      </w:r>
      <w:r>
        <w:rPr>
          <w:color w:val="000000"/>
          <w:sz w:val="24"/>
          <w:szCs w:val="24"/>
        </w:rPr>
        <w:t>（</w:t>
      </w:r>
      <w:r>
        <w:rPr>
          <w:color w:val="000000"/>
          <w:sz w:val="24"/>
          <w:szCs w:val="24"/>
        </w:rPr>
        <w:t>Galectin-9</w:t>
      </w:r>
      <w:r>
        <w:rPr>
          <w:color w:val="000000"/>
          <w:sz w:val="24"/>
          <w:szCs w:val="24"/>
        </w:rPr>
        <w:t>）不仅能通过直接调控</w:t>
      </w:r>
      <w:r>
        <w:rPr>
          <w:color w:val="000000"/>
          <w:sz w:val="24"/>
          <w:szCs w:val="24"/>
        </w:rPr>
        <w:t xml:space="preserve"> CD4</w:t>
      </w:r>
      <w:r>
        <w:rPr>
          <w:color w:val="000000"/>
          <w:sz w:val="24"/>
          <w:szCs w:val="24"/>
          <w:vertAlign w:val="superscript"/>
        </w:rPr>
        <w:t xml:space="preserve">+ </w:t>
      </w:r>
      <w:r>
        <w:rPr>
          <w:color w:val="000000"/>
          <w:sz w:val="24"/>
          <w:szCs w:val="24"/>
        </w:rPr>
        <w:t xml:space="preserve">T </w:t>
      </w:r>
      <w:r>
        <w:rPr>
          <w:color w:val="000000"/>
          <w:sz w:val="24"/>
          <w:szCs w:val="24"/>
        </w:rPr>
        <w:t>细胞亚群分化缓解心肌炎症，还能有效的扩增</w:t>
      </w:r>
      <w:r>
        <w:rPr>
          <w:color w:val="000000"/>
          <w:sz w:val="24"/>
          <w:szCs w:val="24"/>
        </w:rPr>
        <w:t xml:space="preserve"> Ly6C</w:t>
      </w:r>
      <w:r>
        <w:rPr>
          <w:color w:val="000000"/>
          <w:sz w:val="24"/>
          <w:szCs w:val="24"/>
          <w:vertAlign w:val="superscript"/>
        </w:rPr>
        <w:t xml:space="preserve">+ </w:t>
      </w:r>
      <w:proofErr w:type="gramStart"/>
      <w:r>
        <w:rPr>
          <w:color w:val="000000"/>
          <w:sz w:val="24"/>
          <w:szCs w:val="24"/>
        </w:rPr>
        <w:t>髓系来源</w:t>
      </w:r>
      <w:proofErr w:type="gramEnd"/>
      <w:r>
        <w:rPr>
          <w:color w:val="000000"/>
          <w:sz w:val="24"/>
          <w:szCs w:val="24"/>
        </w:rPr>
        <w:t>抑制细胞（</w:t>
      </w:r>
      <w:r>
        <w:rPr>
          <w:color w:val="000000"/>
          <w:sz w:val="24"/>
          <w:szCs w:val="24"/>
        </w:rPr>
        <w:t>MDSCs</w:t>
      </w:r>
      <w:r>
        <w:rPr>
          <w:color w:val="000000"/>
          <w:sz w:val="24"/>
          <w:szCs w:val="24"/>
        </w:rPr>
        <w:t>），后者能以</w:t>
      </w:r>
      <w:r>
        <w:rPr>
          <w:color w:val="000000"/>
          <w:sz w:val="24"/>
          <w:szCs w:val="24"/>
        </w:rPr>
        <w:t xml:space="preserve"> Arg-1 </w:t>
      </w:r>
      <w:r>
        <w:rPr>
          <w:color w:val="000000"/>
          <w:sz w:val="24"/>
          <w:szCs w:val="24"/>
        </w:rPr>
        <w:t>依赖的方式抑制</w:t>
      </w:r>
      <w:r>
        <w:rPr>
          <w:color w:val="000000"/>
          <w:sz w:val="24"/>
          <w:szCs w:val="24"/>
        </w:rPr>
        <w:t xml:space="preserve"> CD4</w:t>
      </w:r>
      <w:r>
        <w:rPr>
          <w:color w:val="000000"/>
          <w:sz w:val="24"/>
          <w:szCs w:val="24"/>
          <w:vertAlign w:val="superscript"/>
        </w:rPr>
        <w:t xml:space="preserve">+ </w:t>
      </w:r>
      <w:r>
        <w:rPr>
          <w:color w:val="000000"/>
          <w:sz w:val="24"/>
          <w:szCs w:val="24"/>
        </w:rPr>
        <w:t xml:space="preserve">T </w:t>
      </w:r>
      <w:r>
        <w:rPr>
          <w:color w:val="000000"/>
          <w:sz w:val="24"/>
          <w:szCs w:val="24"/>
        </w:rPr>
        <w:t>细胞体外增殖，同时以</w:t>
      </w:r>
      <w:r>
        <w:rPr>
          <w:color w:val="000000"/>
          <w:sz w:val="24"/>
          <w:szCs w:val="24"/>
        </w:rPr>
        <w:t xml:space="preserve"> IL-10 </w:t>
      </w:r>
      <w:r>
        <w:rPr>
          <w:color w:val="000000"/>
          <w:sz w:val="24"/>
          <w:szCs w:val="24"/>
        </w:rPr>
        <w:t>依赖的方式促进调节性</w:t>
      </w:r>
      <w:r>
        <w:rPr>
          <w:color w:val="000000"/>
          <w:sz w:val="24"/>
          <w:szCs w:val="24"/>
        </w:rPr>
        <w:t xml:space="preserve"> T </w:t>
      </w:r>
      <w:r>
        <w:rPr>
          <w:color w:val="000000"/>
          <w:sz w:val="24"/>
          <w:szCs w:val="24"/>
        </w:rPr>
        <w:t>细胞（</w:t>
      </w:r>
      <w:r>
        <w:rPr>
          <w:color w:val="000000"/>
          <w:sz w:val="24"/>
          <w:szCs w:val="24"/>
        </w:rPr>
        <w:t>Tregs</w:t>
      </w:r>
      <w:r>
        <w:rPr>
          <w:color w:val="000000"/>
          <w:sz w:val="24"/>
          <w:szCs w:val="24"/>
        </w:rPr>
        <w:t>）扩增，</w:t>
      </w:r>
      <w:r>
        <w:rPr>
          <w:b/>
          <w:bCs/>
          <w:color w:val="000000"/>
          <w:sz w:val="24"/>
          <w:szCs w:val="24"/>
        </w:rPr>
        <w:t>揭示了</w:t>
      </w:r>
      <w:r>
        <w:rPr>
          <w:b/>
          <w:bCs/>
          <w:color w:val="000000"/>
          <w:sz w:val="24"/>
          <w:szCs w:val="24"/>
        </w:rPr>
        <w:t xml:space="preserve"> galectin-9 </w:t>
      </w:r>
      <w:r>
        <w:rPr>
          <w:b/>
          <w:bCs/>
          <w:color w:val="000000"/>
          <w:sz w:val="24"/>
          <w:szCs w:val="24"/>
        </w:rPr>
        <w:t>调控</w:t>
      </w:r>
      <w:r>
        <w:rPr>
          <w:b/>
          <w:bCs/>
          <w:color w:val="000000"/>
          <w:sz w:val="24"/>
          <w:szCs w:val="24"/>
        </w:rPr>
        <w:t xml:space="preserve"> CD4</w:t>
      </w:r>
      <w:r>
        <w:rPr>
          <w:b/>
          <w:bCs/>
          <w:color w:val="000000"/>
          <w:sz w:val="24"/>
          <w:szCs w:val="24"/>
          <w:vertAlign w:val="superscript"/>
        </w:rPr>
        <w:t xml:space="preserve">+ </w:t>
      </w:r>
      <w:r>
        <w:rPr>
          <w:b/>
          <w:bCs/>
          <w:color w:val="000000"/>
          <w:sz w:val="24"/>
          <w:szCs w:val="24"/>
        </w:rPr>
        <w:t xml:space="preserve">T </w:t>
      </w:r>
      <w:r>
        <w:rPr>
          <w:b/>
          <w:bCs/>
          <w:color w:val="000000"/>
          <w:sz w:val="24"/>
          <w:szCs w:val="24"/>
        </w:rPr>
        <w:t>免疫细胞</w:t>
      </w:r>
      <w:r>
        <w:rPr>
          <w:rFonts w:hint="eastAsia"/>
          <w:b/>
          <w:bCs/>
          <w:color w:val="000000"/>
          <w:sz w:val="24"/>
          <w:szCs w:val="24"/>
          <w:lang w:eastAsia="zh-Hans"/>
        </w:rPr>
        <w:t>分化</w:t>
      </w:r>
      <w:r>
        <w:rPr>
          <w:b/>
          <w:bCs/>
          <w:color w:val="000000"/>
          <w:sz w:val="24"/>
          <w:szCs w:val="24"/>
        </w:rPr>
        <w:t>失衡的新机制</w:t>
      </w:r>
      <w:r>
        <w:rPr>
          <w:color w:val="000000"/>
          <w:sz w:val="24"/>
          <w:szCs w:val="24"/>
        </w:rPr>
        <w:t>。</w:t>
      </w:r>
    </w:p>
    <w:p w14:paraId="01932356" w14:textId="77777777" w:rsidR="00BB3C04" w:rsidRDefault="00000000">
      <w:pPr>
        <w:pStyle w:val="a3"/>
        <w:ind w:firstLineChars="0" w:firstLine="0"/>
        <w:rPr>
          <w:rFonts w:ascii="Times New Roman Regular" w:hAnsi="Times New Roman Regular" w:cs="Times New Roman Regular" w:hint="eastAsia"/>
          <w:color w:val="000000"/>
          <w:sz w:val="24"/>
          <w:szCs w:val="24"/>
        </w:rPr>
      </w:pPr>
      <w:r>
        <w:rPr>
          <w:rFonts w:ascii="Times New Roman Regular" w:eastAsiaTheme="minorEastAsia" w:hAnsi="Times New Roman Regular" w:cs="Times New Roman Regular"/>
          <w:color w:val="000000"/>
          <w:sz w:val="24"/>
          <w:szCs w:val="24"/>
        </w:rPr>
        <w:t>3</w:t>
      </w:r>
      <w:r>
        <w:rPr>
          <w:rFonts w:ascii="Times New Roman Regular" w:eastAsiaTheme="minorEastAsia" w:hAnsi="Times New Roman Regular" w:cs="Times New Roman Regular"/>
          <w:color w:val="000000"/>
          <w:sz w:val="24"/>
          <w:szCs w:val="24"/>
        </w:rPr>
        <w:t>、</w:t>
      </w:r>
      <w:r>
        <w:rPr>
          <w:rFonts w:ascii="Times New Roman Regular" w:eastAsiaTheme="minorEastAsia" w:hAnsi="Times New Roman Regular" w:cs="Times New Roman Regular" w:hint="eastAsia"/>
          <w:color w:val="000000"/>
          <w:sz w:val="24"/>
          <w:szCs w:val="24"/>
          <w:lang w:eastAsia="zh-Hans"/>
        </w:rPr>
        <w:t>基于</w:t>
      </w:r>
      <w:r>
        <w:rPr>
          <w:rFonts w:ascii="Times New Roman Regular" w:eastAsiaTheme="minorEastAsia" w:hAnsi="Times New Roman Regular" w:cs="Times New Roman Regular"/>
          <w:color w:val="000000"/>
          <w:sz w:val="24"/>
          <w:szCs w:val="24"/>
        </w:rPr>
        <w:t>暴发性心肌炎缺少特异性生物标志物这一难题，</w:t>
      </w:r>
      <w:r>
        <w:rPr>
          <w:rFonts w:ascii="Times New Roman Regular" w:eastAsiaTheme="minorEastAsia" w:hAnsi="Times New Roman Regular" w:cs="Times New Roman Regular"/>
          <w:b/>
          <w:color w:val="000000"/>
          <w:sz w:val="24"/>
          <w:szCs w:val="24"/>
        </w:rPr>
        <w:t>建立了基于循环外</w:t>
      </w:r>
      <w:proofErr w:type="gramStart"/>
      <w:r>
        <w:rPr>
          <w:rFonts w:ascii="Times New Roman Regular" w:eastAsiaTheme="minorEastAsia" w:hAnsi="Times New Roman Regular" w:cs="Times New Roman Regular"/>
          <w:b/>
          <w:color w:val="000000"/>
          <w:sz w:val="24"/>
          <w:szCs w:val="24"/>
        </w:rPr>
        <w:t>泌</w:t>
      </w:r>
      <w:proofErr w:type="gramEnd"/>
      <w:r>
        <w:rPr>
          <w:rFonts w:ascii="Times New Roman Regular" w:eastAsiaTheme="minorEastAsia" w:hAnsi="Times New Roman Regular" w:cs="Times New Roman Regular"/>
          <w:b/>
          <w:color w:val="000000"/>
          <w:sz w:val="24"/>
          <w:szCs w:val="24"/>
        </w:rPr>
        <w:t>体液体活检的暴发性心肌炎临床诊断模型</w:t>
      </w:r>
      <w:r>
        <w:rPr>
          <w:rFonts w:ascii="Times New Roman Regular" w:eastAsiaTheme="minorEastAsia" w:hAnsi="Times New Roman Regular" w:cs="Times New Roman Regular"/>
          <w:bCs/>
          <w:color w:val="000000"/>
          <w:sz w:val="24"/>
          <w:szCs w:val="24"/>
        </w:rPr>
        <w:t>。</w:t>
      </w:r>
      <w:r>
        <w:rPr>
          <w:rFonts w:ascii="Times New Roman Regular" w:eastAsiaTheme="minorEastAsia" w:hAnsi="Times New Roman Regular" w:cs="Times New Roman Regular"/>
          <w:color w:val="000000"/>
          <w:sz w:val="24"/>
          <w:szCs w:val="24"/>
        </w:rPr>
        <w:t>在国际上首次报道了暴发性心肌炎血清外</w:t>
      </w:r>
      <w:proofErr w:type="gramStart"/>
      <w:r>
        <w:rPr>
          <w:rFonts w:ascii="Times New Roman Regular" w:eastAsiaTheme="minorEastAsia" w:hAnsi="Times New Roman Regular" w:cs="Times New Roman Regular"/>
          <w:color w:val="000000"/>
          <w:sz w:val="24"/>
          <w:szCs w:val="24"/>
        </w:rPr>
        <w:t>泌</w:t>
      </w:r>
      <w:proofErr w:type="gramEnd"/>
      <w:r>
        <w:rPr>
          <w:rFonts w:ascii="Times New Roman Regular" w:eastAsiaTheme="minorEastAsia" w:hAnsi="Times New Roman Regular" w:cs="Times New Roman Regular"/>
          <w:color w:val="000000"/>
          <w:sz w:val="24"/>
          <w:szCs w:val="24"/>
        </w:rPr>
        <w:t>体的</w:t>
      </w:r>
      <w:r>
        <w:rPr>
          <w:rFonts w:ascii="Times New Roman Regular" w:eastAsiaTheme="minorEastAsia" w:hAnsi="Times New Roman Regular" w:cs="Times New Roman Regular"/>
          <w:color w:val="000000"/>
          <w:sz w:val="24"/>
          <w:szCs w:val="24"/>
        </w:rPr>
        <w:t>miRNA</w:t>
      </w:r>
      <w:r>
        <w:rPr>
          <w:rFonts w:ascii="Times New Roman Regular" w:eastAsiaTheme="minorEastAsia" w:hAnsi="Times New Roman Regular" w:cs="Times New Roman Regular"/>
          <w:color w:val="000000"/>
          <w:sz w:val="24"/>
          <w:szCs w:val="24"/>
        </w:rPr>
        <w:t>图谱，并建立了基于外</w:t>
      </w:r>
      <w:proofErr w:type="gramStart"/>
      <w:r>
        <w:rPr>
          <w:rFonts w:ascii="Times New Roman Regular" w:eastAsiaTheme="minorEastAsia" w:hAnsi="Times New Roman Regular" w:cs="Times New Roman Regular"/>
          <w:color w:val="000000"/>
          <w:sz w:val="24"/>
          <w:szCs w:val="24"/>
        </w:rPr>
        <w:t>泌</w:t>
      </w:r>
      <w:proofErr w:type="gramEnd"/>
      <w:r>
        <w:rPr>
          <w:rFonts w:ascii="Times New Roman Regular" w:eastAsiaTheme="minorEastAsia" w:hAnsi="Times New Roman Regular" w:cs="Times New Roman Regular"/>
          <w:color w:val="000000"/>
          <w:sz w:val="24"/>
          <w:szCs w:val="24"/>
        </w:rPr>
        <w:t>体</w:t>
      </w:r>
      <w:r>
        <w:rPr>
          <w:rFonts w:ascii="Times New Roman Regular" w:eastAsiaTheme="minorEastAsia" w:hAnsi="Times New Roman Regular" w:cs="Times New Roman Regular"/>
          <w:color w:val="000000"/>
          <w:sz w:val="24"/>
          <w:szCs w:val="24"/>
        </w:rPr>
        <w:t>miRNA</w:t>
      </w:r>
      <w:r>
        <w:rPr>
          <w:rFonts w:ascii="Times New Roman Regular" w:eastAsiaTheme="minorEastAsia" w:hAnsi="Times New Roman Regular" w:cs="Times New Roman Regular"/>
          <w:color w:val="000000"/>
          <w:sz w:val="24"/>
          <w:szCs w:val="24"/>
        </w:rPr>
        <w:t>检测的暴发性心肌炎临床诊断模型</w:t>
      </w:r>
      <w:r>
        <w:rPr>
          <w:rFonts w:ascii="Times New Roman Regular" w:hAnsi="Times New Roman Regular" w:cs="Times New Roman Regular"/>
          <w:bCs/>
          <w:sz w:val="24"/>
        </w:rPr>
        <w:t>[Logit (p=FM) =3.577+0.396*hsa-miR-155+0.373*hsa-miR-320a]</w:t>
      </w:r>
      <w:r>
        <w:rPr>
          <w:rFonts w:ascii="Times New Roman Regular" w:hAnsi="Times New Roman Regular" w:cs="Times New Roman Regular"/>
          <w:color w:val="000000"/>
          <w:sz w:val="24"/>
          <w:szCs w:val="24"/>
        </w:rPr>
        <w:t>。</w:t>
      </w:r>
    </w:p>
    <w:p w14:paraId="04BF403C" w14:textId="77777777" w:rsidR="00BB3C04" w:rsidRDefault="00000000">
      <w:pPr>
        <w:spacing w:line="360" w:lineRule="auto"/>
        <w:ind w:firstLineChars="200" w:firstLine="480"/>
        <w:rPr>
          <w:rFonts w:ascii="Times New Roman Regular" w:hAnsi="Times New Roman Regular" w:cs="Times New Roman Regular" w:hint="eastAsia"/>
          <w:color w:val="000000"/>
          <w:sz w:val="24"/>
        </w:rPr>
      </w:pPr>
      <w:r>
        <w:rPr>
          <w:rFonts w:ascii="Times New Roman Regular" w:hAnsi="Times New Roman Regular" w:cs="Times New Roman Regular"/>
          <w:color w:val="000000"/>
          <w:sz w:val="24"/>
        </w:rPr>
        <w:t>本项目主要发现和结论被国内外同行高度认可，在</w:t>
      </w:r>
      <w:r>
        <w:rPr>
          <w:rFonts w:ascii="Times New Roman Regular" w:hAnsi="Times New Roman Regular" w:cs="Times New Roman Regular"/>
          <w:color w:val="000000"/>
          <w:sz w:val="24"/>
        </w:rPr>
        <w:t>FASEB J</w:t>
      </w:r>
      <w:r>
        <w:rPr>
          <w:rFonts w:ascii="Times New Roman Regular" w:hAnsi="Times New Roman Regular" w:cs="Times New Roman Regular"/>
          <w:color w:val="000000"/>
          <w:sz w:val="24"/>
        </w:rPr>
        <w:t>等国内外高水</w:t>
      </w:r>
      <w:r>
        <w:rPr>
          <w:rFonts w:ascii="Times New Roman Regular" w:hAnsi="Times New Roman Regular" w:cs="Times New Roman Regular"/>
          <w:color w:val="000000"/>
          <w:sz w:val="24"/>
        </w:rPr>
        <w:lastRenderedPageBreak/>
        <w:t>平期刊发表论文</w:t>
      </w:r>
      <w:r>
        <w:rPr>
          <w:rFonts w:ascii="Times New Roman Regular" w:hAnsi="Times New Roman Regular" w:cs="Times New Roman Regular"/>
          <w:color w:val="000000"/>
          <w:sz w:val="24"/>
        </w:rPr>
        <w:t>14</w:t>
      </w:r>
      <w:r>
        <w:rPr>
          <w:rFonts w:ascii="Times New Roman Regular" w:hAnsi="Times New Roman Regular" w:cs="Times New Roman Regular"/>
          <w:color w:val="000000"/>
          <w:sz w:val="24"/>
        </w:rPr>
        <w:t>篇（</w:t>
      </w:r>
      <w:r>
        <w:rPr>
          <w:rFonts w:ascii="Times New Roman Regular" w:hAnsi="Times New Roman Regular" w:cs="Times New Roman Regular"/>
          <w:color w:val="000000"/>
          <w:sz w:val="24"/>
        </w:rPr>
        <w:t>SCI</w:t>
      </w:r>
      <w:r>
        <w:rPr>
          <w:rFonts w:ascii="Times New Roman Regular" w:hAnsi="Times New Roman Regular" w:cs="Times New Roman Regular"/>
          <w:color w:val="000000"/>
          <w:sz w:val="24"/>
        </w:rPr>
        <w:t>收录</w:t>
      </w:r>
      <w:r>
        <w:rPr>
          <w:rFonts w:ascii="Times New Roman Regular" w:hAnsi="Times New Roman Regular" w:cs="Times New Roman Regular"/>
          <w:color w:val="000000"/>
          <w:sz w:val="24"/>
        </w:rPr>
        <w:t>12</w:t>
      </w:r>
      <w:r>
        <w:rPr>
          <w:rFonts w:ascii="Times New Roman Regular" w:hAnsi="Times New Roman Regular" w:cs="Times New Roman Regular"/>
          <w:color w:val="000000"/>
          <w:sz w:val="24"/>
        </w:rPr>
        <w:t>篇），</w:t>
      </w:r>
      <w:r>
        <w:rPr>
          <w:rFonts w:ascii="Times New Roman Regular" w:hAnsi="Times New Roman Regular" w:cs="Times New Roman Regular"/>
          <w:color w:val="000000"/>
          <w:sz w:val="24"/>
        </w:rPr>
        <w:t>12</w:t>
      </w:r>
      <w:r>
        <w:rPr>
          <w:rFonts w:ascii="Times New Roman Regular" w:hAnsi="Times New Roman Regular" w:cs="Times New Roman Regular"/>
          <w:color w:val="000000"/>
          <w:sz w:val="24"/>
        </w:rPr>
        <w:t>代表作累计</w:t>
      </w:r>
      <w:r>
        <w:rPr>
          <w:rFonts w:ascii="Times New Roman Regular" w:hAnsi="Times New Roman Regular" w:cs="Times New Roman Regular"/>
          <w:color w:val="000000"/>
          <w:sz w:val="24"/>
        </w:rPr>
        <w:t>SCI</w:t>
      </w:r>
      <w:r>
        <w:rPr>
          <w:rFonts w:ascii="Times New Roman Regular" w:hAnsi="Times New Roman Regular" w:cs="Times New Roman Regular"/>
          <w:color w:val="000000"/>
          <w:sz w:val="24"/>
        </w:rPr>
        <w:t>他引</w:t>
      </w:r>
      <w:r>
        <w:rPr>
          <w:rFonts w:ascii="Times New Roman Bold" w:hAnsi="Times New Roman Bold" w:cs="Times New Roman Bold"/>
          <w:b/>
          <w:bCs/>
          <w:color w:val="000000"/>
          <w:sz w:val="24"/>
        </w:rPr>
        <w:t>418</w:t>
      </w:r>
      <w:r>
        <w:rPr>
          <w:rFonts w:ascii="Times New Roman Regular" w:hAnsi="Times New Roman Regular" w:cs="Times New Roman Regular"/>
          <w:color w:val="000000"/>
          <w:sz w:val="24"/>
        </w:rPr>
        <w:t>次，单篇最高他引</w:t>
      </w:r>
      <w:r>
        <w:rPr>
          <w:rFonts w:ascii="Times New Roman Bold" w:hAnsi="Times New Roman Bold" w:cs="Times New Roman Bold"/>
          <w:b/>
          <w:bCs/>
          <w:color w:val="000000"/>
          <w:sz w:val="24"/>
        </w:rPr>
        <w:t>141</w:t>
      </w:r>
      <w:r>
        <w:rPr>
          <w:rFonts w:ascii="Times New Roman Regular" w:hAnsi="Times New Roman Regular" w:cs="Times New Roman Regular"/>
          <w:color w:val="000000"/>
          <w:sz w:val="24"/>
        </w:rPr>
        <w:t>次，主要发现被国际顶级期刊如</w:t>
      </w:r>
      <w:r>
        <w:rPr>
          <w:rFonts w:ascii="Times New Roman Regular" w:hAnsi="Times New Roman Regular" w:cs="Times New Roman Regular"/>
          <w:color w:val="000000"/>
          <w:sz w:val="24"/>
        </w:rPr>
        <w:t>Circulation, European Heart Journal, Journal of the American College of Cardiology, Nucleic Acids Research</w:t>
      </w:r>
      <w:r>
        <w:rPr>
          <w:rFonts w:ascii="Times New Roman Regular" w:hAnsi="Times New Roman Regular" w:cs="Times New Roman Regular"/>
          <w:color w:val="000000"/>
          <w:sz w:val="24"/>
        </w:rPr>
        <w:t>等引用。本研究成果总体上处于国内领先、国际先进水平。</w:t>
      </w:r>
    </w:p>
    <w:p w14:paraId="380FF4CC" w14:textId="77777777" w:rsidR="00BB3C04" w:rsidRDefault="00BB3C04">
      <w:pPr>
        <w:adjustRightInd w:val="0"/>
        <w:snapToGrid w:val="0"/>
        <w:spacing w:line="440" w:lineRule="exact"/>
        <w:rPr>
          <w:rFonts w:ascii="仿宋_GB2312" w:eastAsia="仿宋_GB2312"/>
          <w:color w:val="000000"/>
          <w:kern w:val="0"/>
          <w:sz w:val="28"/>
          <w:szCs w:val="28"/>
        </w:rPr>
      </w:pPr>
    </w:p>
    <w:p w14:paraId="572F0185" w14:textId="77777777" w:rsidR="00BB3C04" w:rsidRDefault="00000000">
      <w:pPr>
        <w:adjustRightInd w:val="0"/>
        <w:snapToGrid w:val="0"/>
        <w:spacing w:line="440" w:lineRule="exact"/>
        <w:rPr>
          <w:rFonts w:ascii="仿宋_GB2312" w:eastAsia="仿宋_GB2312"/>
          <w:color w:val="000000"/>
          <w:kern w:val="0"/>
          <w:sz w:val="28"/>
          <w:szCs w:val="28"/>
        </w:rPr>
      </w:pPr>
      <w:r>
        <w:rPr>
          <w:rFonts w:ascii="仿宋_GB2312" w:eastAsia="仿宋_GB2312" w:hint="eastAsia"/>
          <w:color w:val="000000"/>
          <w:kern w:val="0"/>
          <w:sz w:val="28"/>
          <w:szCs w:val="28"/>
        </w:rPr>
        <w:t xml:space="preserve">代表性论文（专著）目录： </w:t>
      </w:r>
    </w:p>
    <w:tbl>
      <w:tblPr>
        <w:tblStyle w:val="a8"/>
        <w:tblW w:w="0" w:type="auto"/>
        <w:tblLayout w:type="fixed"/>
        <w:tblLook w:val="04A0" w:firstRow="1" w:lastRow="0" w:firstColumn="1" w:lastColumn="0" w:noHBand="0" w:noVBand="1"/>
      </w:tblPr>
      <w:tblGrid>
        <w:gridCol w:w="672"/>
        <w:gridCol w:w="7850"/>
      </w:tblGrid>
      <w:tr w:rsidR="00BB3C04" w14:paraId="57365064" w14:textId="77777777">
        <w:tc>
          <w:tcPr>
            <w:tcW w:w="672" w:type="dxa"/>
          </w:tcPr>
          <w:p w14:paraId="415A29E0" w14:textId="77777777" w:rsidR="00BB3C04" w:rsidRDefault="00000000">
            <w:pPr>
              <w:spacing w:line="360" w:lineRule="auto"/>
              <w:rPr>
                <w:rFonts w:ascii="Times New Roman Regular" w:eastAsia="仿宋_GB2312" w:hAnsi="Times New Roman Regular" w:cs="Times New Roman Regular" w:hint="eastAsia"/>
                <w:color w:val="000000"/>
                <w:kern w:val="0"/>
                <w:sz w:val="28"/>
                <w:szCs w:val="28"/>
              </w:rPr>
            </w:pPr>
            <w:r>
              <w:rPr>
                <w:rFonts w:ascii="Times New Roman Regular" w:eastAsia="仿宋_GB2312" w:hAnsi="Times New Roman Regular" w:cs="Times New Roman Regular"/>
                <w:color w:val="000000"/>
                <w:kern w:val="0"/>
                <w:sz w:val="28"/>
                <w:szCs w:val="28"/>
              </w:rPr>
              <w:t>1</w:t>
            </w:r>
          </w:p>
        </w:tc>
        <w:tc>
          <w:tcPr>
            <w:tcW w:w="7850" w:type="dxa"/>
          </w:tcPr>
          <w:p w14:paraId="3B05590E" w14:textId="77777777" w:rsidR="00BB3C04" w:rsidRDefault="00000000">
            <w:pPr>
              <w:spacing w:line="360" w:lineRule="auto"/>
              <w:rPr>
                <w:rFonts w:ascii="Times New Roman Regular" w:hAnsi="Times New Roman Regular" w:cs="Times New Roman Regular" w:hint="eastAsia"/>
                <w:sz w:val="24"/>
                <w:szCs w:val="24"/>
              </w:rPr>
            </w:pPr>
            <w:r>
              <w:rPr>
                <w:rFonts w:ascii="Times New Roman Regular" w:hAnsi="Times New Roman Regular" w:cs="Times New Roman Regular"/>
                <w:sz w:val="24"/>
                <w:szCs w:val="24"/>
              </w:rPr>
              <w:t xml:space="preserve">Zhang Y, Li X, Kong X, Zhang M, Wang D, Liu Y, </w:t>
            </w:r>
            <w:proofErr w:type="spellStart"/>
            <w:r>
              <w:rPr>
                <w:rFonts w:ascii="Times New Roman Regular" w:hAnsi="Times New Roman Regular" w:cs="Times New Roman Regular"/>
                <w:sz w:val="24"/>
                <w:szCs w:val="24"/>
              </w:rPr>
              <w:t>Lv</w:t>
            </w:r>
            <w:proofErr w:type="spellEnd"/>
            <w:r>
              <w:rPr>
                <w:rFonts w:ascii="Times New Roman Regular" w:hAnsi="Times New Roman Regular" w:cs="Times New Roman Regular"/>
                <w:sz w:val="24"/>
                <w:szCs w:val="24"/>
              </w:rPr>
              <w:t xml:space="preserve"> K. Long non-coding RNA AK085865 ablation confers susceptibility to viralmyocarditis by regulating macrophage polarization. J Cell Mol Med. 2020 May;24(10):5542-5554. </w:t>
            </w:r>
          </w:p>
        </w:tc>
      </w:tr>
      <w:tr w:rsidR="00BB3C04" w14:paraId="4B743224" w14:textId="77777777">
        <w:tc>
          <w:tcPr>
            <w:tcW w:w="672" w:type="dxa"/>
          </w:tcPr>
          <w:p w14:paraId="59B6F228" w14:textId="77777777" w:rsidR="00BB3C04" w:rsidRDefault="00000000">
            <w:pPr>
              <w:adjustRightInd w:val="0"/>
              <w:snapToGrid w:val="0"/>
              <w:spacing w:line="440" w:lineRule="exact"/>
              <w:rPr>
                <w:rFonts w:ascii="Times New Roman Regular" w:eastAsia="仿宋_GB2312" w:hAnsi="Times New Roman Regular" w:cs="Times New Roman Regular" w:hint="eastAsia"/>
                <w:color w:val="000000"/>
                <w:kern w:val="0"/>
                <w:sz w:val="28"/>
                <w:szCs w:val="28"/>
              </w:rPr>
            </w:pPr>
            <w:r>
              <w:rPr>
                <w:rFonts w:ascii="Times New Roman Regular" w:eastAsia="仿宋_GB2312" w:hAnsi="Times New Roman Regular" w:cs="Times New Roman Regular"/>
                <w:color w:val="000000"/>
                <w:kern w:val="0"/>
                <w:sz w:val="28"/>
                <w:szCs w:val="28"/>
              </w:rPr>
              <w:t>2</w:t>
            </w:r>
          </w:p>
        </w:tc>
        <w:tc>
          <w:tcPr>
            <w:tcW w:w="7850" w:type="dxa"/>
          </w:tcPr>
          <w:p w14:paraId="5A74BC99" w14:textId="77777777" w:rsidR="00BB3C04" w:rsidRDefault="00000000">
            <w:pPr>
              <w:spacing w:line="360" w:lineRule="auto"/>
              <w:rPr>
                <w:rFonts w:ascii="仿宋_GB2312" w:eastAsia="仿宋_GB2312"/>
                <w:color w:val="000000"/>
                <w:kern w:val="0"/>
                <w:sz w:val="28"/>
                <w:szCs w:val="28"/>
              </w:rPr>
            </w:pPr>
            <w:r>
              <w:rPr>
                <w:rFonts w:ascii="Times New Roman Regular" w:hAnsi="Times New Roman Regular" w:cs="Times New Roman Regular"/>
                <w:sz w:val="24"/>
                <w:szCs w:val="24"/>
              </w:rPr>
              <w:t xml:space="preserve">Zhang Y, Li X, Wang C, Zhang M, Yang H, </w:t>
            </w:r>
            <w:proofErr w:type="spellStart"/>
            <w:r>
              <w:rPr>
                <w:rFonts w:ascii="Times New Roman Regular" w:hAnsi="Times New Roman Regular" w:cs="Times New Roman Regular"/>
                <w:sz w:val="24"/>
                <w:szCs w:val="24"/>
              </w:rPr>
              <w:t>Lv</w:t>
            </w:r>
            <w:proofErr w:type="spellEnd"/>
            <w:r>
              <w:rPr>
                <w:rFonts w:ascii="Times New Roman Regular" w:hAnsi="Times New Roman Regular" w:cs="Times New Roman Regular"/>
                <w:sz w:val="24"/>
                <w:szCs w:val="24"/>
              </w:rPr>
              <w:t xml:space="preserve"> K. </w:t>
            </w:r>
            <w:hyperlink r:id="rId4" w:history="1">
              <w:r>
                <w:rPr>
                  <w:rFonts w:ascii="Times New Roman Regular" w:hAnsi="Times New Roman Regular" w:cs="Times New Roman Regular"/>
                  <w:sz w:val="24"/>
                  <w:szCs w:val="24"/>
                </w:rPr>
                <w:t>lncRNA AK085865 Promotes Macrophage M2 Polarization in CVB3-Induced VM by Regulating ILF2-ILF3 Complex-Mediated miRNA-192 Biogenesis.</w:t>
              </w:r>
            </w:hyperlink>
            <w:r>
              <w:rPr>
                <w:rFonts w:ascii="Times New Roman Regular" w:hAnsi="Times New Roman Regular" w:cs="Times New Roman Regular"/>
                <w:sz w:val="24"/>
                <w:szCs w:val="24"/>
              </w:rPr>
              <w:t xml:space="preserve"> Mol </w:t>
            </w:r>
            <w:proofErr w:type="spellStart"/>
            <w:r>
              <w:rPr>
                <w:rFonts w:ascii="Times New Roman Regular" w:hAnsi="Times New Roman Regular" w:cs="Times New Roman Regular"/>
                <w:sz w:val="24"/>
                <w:szCs w:val="24"/>
              </w:rPr>
              <w:t>Ther</w:t>
            </w:r>
            <w:proofErr w:type="spellEnd"/>
            <w:r>
              <w:rPr>
                <w:rFonts w:ascii="Times New Roman Regular" w:hAnsi="Times New Roman Regular" w:cs="Times New Roman Regular"/>
                <w:sz w:val="24"/>
                <w:szCs w:val="24"/>
              </w:rPr>
              <w:t xml:space="preserve"> Nucleic Acids. 2020 Sep </w:t>
            </w:r>
            <w:proofErr w:type="gramStart"/>
            <w:r>
              <w:rPr>
                <w:rFonts w:ascii="Times New Roman Regular" w:hAnsi="Times New Roman Regular" w:cs="Times New Roman Regular"/>
                <w:sz w:val="24"/>
                <w:szCs w:val="24"/>
              </w:rPr>
              <w:t>4;21:441</w:t>
            </w:r>
            <w:proofErr w:type="gramEnd"/>
            <w:r>
              <w:rPr>
                <w:rFonts w:ascii="Times New Roman Regular" w:hAnsi="Times New Roman Regular" w:cs="Times New Roman Regular"/>
                <w:sz w:val="24"/>
                <w:szCs w:val="24"/>
              </w:rPr>
              <w:t>-451. </w:t>
            </w:r>
          </w:p>
        </w:tc>
      </w:tr>
      <w:tr w:rsidR="00BB3C04" w14:paraId="58DA6FD8" w14:textId="77777777">
        <w:tc>
          <w:tcPr>
            <w:tcW w:w="672" w:type="dxa"/>
          </w:tcPr>
          <w:p w14:paraId="43B472E2" w14:textId="77777777" w:rsidR="00BB3C04" w:rsidRDefault="00000000">
            <w:pPr>
              <w:adjustRightInd w:val="0"/>
              <w:snapToGrid w:val="0"/>
              <w:spacing w:line="440" w:lineRule="exact"/>
              <w:rPr>
                <w:rFonts w:ascii="Times New Roman Regular" w:eastAsia="仿宋_GB2312" w:hAnsi="Times New Roman Regular" w:cs="Times New Roman Regular" w:hint="eastAsia"/>
                <w:color w:val="000000"/>
                <w:kern w:val="0"/>
                <w:sz w:val="28"/>
                <w:szCs w:val="28"/>
              </w:rPr>
            </w:pPr>
            <w:r>
              <w:rPr>
                <w:rFonts w:ascii="Times New Roman Regular" w:eastAsia="仿宋_GB2312" w:hAnsi="Times New Roman Regular" w:cs="Times New Roman Regular"/>
                <w:color w:val="000000"/>
                <w:kern w:val="0"/>
                <w:sz w:val="28"/>
                <w:szCs w:val="28"/>
              </w:rPr>
              <w:t>3</w:t>
            </w:r>
          </w:p>
        </w:tc>
        <w:tc>
          <w:tcPr>
            <w:tcW w:w="7850" w:type="dxa"/>
          </w:tcPr>
          <w:p w14:paraId="7CA81FD7" w14:textId="77777777" w:rsidR="00BB3C04" w:rsidRDefault="00000000">
            <w:pPr>
              <w:spacing w:line="360" w:lineRule="auto"/>
              <w:rPr>
                <w:rFonts w:ascii="仿宋_GB2312" w:eastAsia="仿宋_GB2312"/>
                <w:color w:val="000000"/>
                <w:kern w:val="0"/>
                <w:sz w:val="28"/>
                <w:szCs w:val="28"/>
              </w:rPr>
            </w:pPr>
            <w:r>
              <w:rPr>
                <w:rFonts w:ascii="Times New Roman Regular" w:hAnsi="Times New Roman Regular" w:cs="Times New Roman Regular"/>
                <w:sz w:val="24"/>
                <w:szCs w:val="24"/>
              </w:rPr>
              <w:t xml:space="preserve">Pei W, Zhang Y, Li X, Luo M, Chen T, Zhang M, Zhong M, </w:t>
            </w:r>
            <w:proofErr w:type="spellStart"/>
            <w:r>
              <w:rPr>
                <w:rFonts w:ascii="Times New Roman Regular" w:hAnsi="Times New Roman Regular" w:cs="Times New Roman Regular"/>
                <w:sz w:val="24"/>
                <w:szCs w:val="24"/>
              </w:rPr>
              <w:t>Lv</w:t>
            </w:r>
            <w:proofErr w:type="spellEnd"/>
            <w:r>
              <w:rPr>
                <w:rFonts w:ascii="Times New Roman Regular" w:hAnsi="Times New Roman Regular" w:cs="Times New Roman Regular"/>
                <w:sz w:val="24"/>
                <w:szCs w:val="24"/>
              </w:rPr>
              <w:t xml:space="preserve"> K. </w:t>
            </w:r>
            <w:hyperlink r:id="rId5" w:history="1">
              <w:r>
                <w:rPr>
                  <w:rFonts w:ascii="Times New Roman Regular" w:hAnsi="Times New Roman Regular" w:cs="Times New Roman Regular"/>
                  <w:sz w:val="24"/>
                  <w:szCs w:val="24"/>
                </w:rPr>
                <w:t>LncRNA AK085865 depletion ameliorates asthmatic airway inflammation by modulating macrophage polarization.</w:t>
              </w:r>
            </w:hyperlink>
            <w:r>
              <w:rPr>
                <w:rFonts w:ascii="Times New Roman Regular" w:hAnsi="Times New Roman Regular" w:cs="Times New Roman Regular"/>
                <w:sz w:val="24"/>
                <w:szCs w:val="24"/>
              </w:rPr>
              <w:t xml:space="preserve"> Int </w:t>
            </w:r>
            <w:proofErr w:type="spellStart"/>
            <w:r>
              <w:rPr>
                <w:rFonts w:ascii="Times New Roman Regular" w:hAnsi="Times New Roman Regular" w:cs="Times New Roman Regular"/>
                <w:sz w:val="24"/>
                <w:szCs w:val="24"/>
              </w:rPr>
              <w:t>Immunopharmacol</w:t>
            </w:r>
            <w:proofErr w:type="spellEnd"/>
            <w:r>
              <w:rPr>
                <w:rFonts w:ascii="Times New Roman Regular" w:hAnsi="Times New Roman Regular" w:cs="Times New Roman Regular"/>
                <w:sz w:val="24"/>
                <w:szCs w:val="24"/>
              </w:rPr>
              <w:t xml:space="preserve">. 2020 </w:t>
            </w:r>
            <w:proofErr w:type="gramStart"/>
            <w:r>
              <w:rPr>
                <w:rFonts w:ascii="Times New Roman Regular" w:hAnsi="Times New Roman Regular" w:cs="Times New Roman Regular"/>
                <w:sz w:val="24"/>
                <w:szCs w:val="24"/>
              </w:rPr>
              <w:t>Jun;83:106450</w:t>
            </w:r>
            <w:proofErr w:type="gramEnd"/>
            <w:r>
              <w:rPr>
                <w:rFonts w:ascii="Times New Roman Regular" w:hAnsi="Times New Roman Regular" w:cs="Times New Roman Regular"/>
                <w:sz w:val="24"/>
                <w:szCs w:val="24"/>
              </w:rPr>
              <w:t>.</w:t>
            </w:r>
          </w:p>
        </w:tc>
      </w:tr>
      <w:tr w:rsidR="00BB3C04" w14:paraId="7CD540E6" w14:textId="77777777">
        <w:tc>
          <w:tcPr>
            <w:tcW w:w="672" w:type="dxa"/>
          </w:tcPr>
          <w:p w14:paraId="4F018B4F" w14:textId="77777777" w:rsidR="00BB3C04" w:rsidRDefault="00000000">
            <w:pPr>
              <w:adjustRightInd w:val="0"/>
              <w:snapToGrid w:val="0"/>
              <w:spacing w:line="440" w:lineRule="exact"/>
              <w:rPr>
                <w:rFonts w:ascii="Times New Roman Regular" w:eastAsia="仿宋_GB2312" w:hAnsi="Times New Roman Regular" w:cs="Times New Roman Regular" w:hint="eastAsia"/>
                <w:color w:val="000000"/>
                <w:kern w:val="0"/>
                <w:sz w:val="28"/>
                <w:szCs w:val="28"/>
              </w:rPr>
            </w:pPr>
            <w:r>
              <w:rPr>
                <w:rFonts w:ascii="Times New Roman Regular" w:eastAsia="仿宋_GB2312" w:hAnsi="Times New Roman Regular" w:cs="Times New Roman Regular"/>
                <w:color w:val="000000"/>
                <w:kern w:val="0"/>
                <w:sz w:val="28"/>
                <w:szCs w:val="28"/>
              </w:rPr>
              <w:t>4</w:t>
            </w:r>
          </w:p>
        </w:tc>
        <w:tc>
          <w:tcPr>
            <w:tcW w:w="7850" w:type="dxa"/>
          </w:tcPr>
          <w:p w14:paraId="094A2760" w14:textId="77777777" w:rsidR="00BB3C04" w:rsidRDefault="00000000">
            <w:pPr>
              <w:spacing w:line="360" w:lineRule="auto"/>
              <w:rPr>
                <w:rFonts w:ascii="仿宋_GB2312" w:eastAsia="仿宋_GB2312"/>
                <w:color w:val="000000"/>
                <w:kern w:val="0"/>
                <w:sz w:val="28"/>
                <w:szCs w:val="28"/>
              </w:rPr>
            </w:pPr>
            <w:r>
              <w:rPr>
                <w:rFonts w:ascii="Times New Roman Regular" w:hAnsi="Times New Roman Regular" w:cs="Times New Roman Regular"/>
                <w:sz w:val="24"/>
                <w:szCs w:val="24"/>
              </w:rPr>
              <w:t>Zhang Y, Zhang M, Zhong M, Suo Q, </w:t>
            </w:r>
            <w:proofErr w:type="spellStart"/>
            <w:r>
              <w:rPr>
                <w:rFonts w:ascii="Times New Roman Regular" w:hAnsi="Times New Roman Regular" w:cs="Times New Roman Regular"/>
                <w:sz w:val="24"/>
                <w:szCs w:val="24"/>
              </w:rPr>
              <w:t>Lv</w:t>
            </w:r>
            <w:proofErr w:type="spellEnd"/>
            <w:r>
              <w:rPr>
                <w:rFonts w:ascii="Times New Roman Regular" w:hAnsi="Times New Roman Regular" w:cs="Times New Roman Regular"/>
                <w:sz w:val="24"/>
                <w:szCs w:val="24"/>
              </w:rPr>
              <w:t xml:space="preserve"> K. </w:t>
            </w:r>
            <w:hyperlink r:id="rId6" w:history="1">
              <w:r>
                <w:rPr>
                  <w:rFonts w:ascii="Times New Roman Regular" w:hAnsi="Times New Roman Regular" w:cs="Times New Roman Regular"/>
                  <w:sz w:val="24"/>
                  <w:szCs w:val="24"/>
                </w:rPr>
                <w:t>Expression profiles of miRNAs in polarized macrophages.</w:t>
              </w:r>
            </w:hyperlink>
            <w:r>
              <w:rPr>
                <w:rFonts w:ascii="Times New Roman Regular" w:hAnsi="Times New Roman Regular" w:cs="Times New Roman Regular"/>
                <w:sz w:val="24"/>
                <w:szCs w:val="24"/>
              </w:rPr>
              <w:t xml:space="preserve"> Int J Mol Med. 2013 Apr;31(4):797-802.</w:t>
            </w:r>
          </w:p>
        </w:tc>
      </w:tr>
      <w:tr w:rsidR="00BB3C04" w14:paraId="62C9F124" w14:textId="77777777">
        <w:tc>
          <w:tcPr>
            <w:tcW w:w="672" w:type="dxa"/>
          </w:tcPr>
          <w:p w14:paraId="1C27AC25" w14:textId="77777777" w:rsidR="00BB3C04" w:rsidRDefault="00000000">
            <w:pPr>
              <w:adjustRightInd w:val="0"/>
              <w:snapToGrid w:val="0"/>
              <w:spacing w:line="440" w:lineRule="exact"/>
              <w:rPr>
                <w:rFonts w:ascii="Times New Roman Regular" w:eastAsia="仿宋_GB2312" w:hAnsi="Times New Roman Regular" w:cs="Times New Roman Regular" w:hint="eastAsia"/>
                <w:color w:val="000000"/>
                <w:kern w:val="0"/>
                <w:sz w:val="28"/>
                <w:szCs w:val="28"/>
              </w:rPr>
            </w:pPr>
            <w:r>
              <w:rPr>
                <w:rFonts w:ascii="Times New Roman Regular" w:eastAsia="仿宋_GB2312" w:hAnsi="Times New Roman Regular" w:cs="Times New Roman Regular"/>
                <w:color w:val="000000"/>
                <w:kern w:val="0"/>
                <w:sz w:val="28"/>
                <w:szCs w:val="28"/>
              </w:rPr>
              <w:t>5</w:t>
            </w:r>
          </w:p>
        </w:tc>
        <w:tc>
          <w:tcPr>
            <w:tcW w:w="7850" w:type="dxa"/>
          </w:tcPr>
          <w:p w14:paraId="3903D332" w14:textId="77777777" w:rsidR="00BB3C04" w:rsidRDefault="00000000">
            <w:pPr>
              <w:spacing w:line="360" w:lineRule="auto"/>
              <w:rPr>
                <w:rFonts w:ascii="仿宋_GB2312" w:eastAsia="仿宋_GB2312"/>
                <w:color w:val="000000"/>
                <w:kern w:val="0"/>
                <w:sz w:val="28"/>
                <w:szCs w:val="28"/>
              </w:rPr>
            </w:pPr>
            <w:r>
              <w:rPr>
                <w:rFonts w:ascii="Times New Roman Regular" w:hAnsi="Times New Roman Regular" w:cs="Times New Roman Regular"/>
                <w:sz w:val="24"/>
                <w:szCs w:val="24"/>
              </w:rPr>
              <w:t>Li X, Zhang Y, Pei W, Zhang M, Yang H, Zhong M, Kong X, Xu Y, Zhu X, Chen T, Ye J, </w:t>
            </w:r>
            <w:proofErr w:type="spellStart"/>
            <w:r>
              <w:rPr>
                <w:rFonts w:ascii="Times New Roman Regular" w:hAnsi="Times New Roman Regular" w:cs="Times New Roman Regular"/>
                <w:sz w:val="24"/>
                <w:szCs w:val="24"/>
              </w:rPr>
              <w:t>Lv</w:t>
            </w:r>
            <w:proofErr w:type="spellEnd"/>
            <w:r>
              <w:rPr>
                <w:rFonts w:ascii="Times New Roman Regular" w:hAnsi="Times New Roman Regular" w:cs="Times New Roman Regular"/>
                <w:sz w:val="24"/>
                <w:szCs w:val="24"/>
              </w:rPr>
              <w:t xml:space="preserve"> K. LncRNA Dnmt3aos regulates Dnmt3a expression leading to aberrant DNA methylation in macrophage polarization. FASEB J. 2020 Apr;34(4):5077-5091. </w:t>
            </w:r>
          </w:p>
        </w:tc>
      </w:tr>
      <w:tr w:rsidR="00BB3C04" w14:paraId="6B05091B" w14:textId="77777777">
        <w:tc>
          <w:tcPr>
            <w:tcW w:w="672" w:type="dxa"/>
          </w:tcPr>
          <w:p w14:paraId="7834D2F5" w14:textId="77777777" w:rsidR="00BB3C04" w:rsidRDefault="00000000">
            <w:pPr>
              <w:adjustRightInd w:val="0"/>
              <w:snapToGrid w:val="0"/>
              <w:spacing w:line="440" w:lineRule="exact"/>
              <w:rPr>
                <w:rFonts w:ascii="Times New Roman Regular" w:eastAsia="仿宋_GB2312" w:hAnsi="Times New Roman Regular" w:cs="Times New Roman Regular" w:hint="eastAsia"/>
                <w:color w:val="000000"/>
                <w:kern w:val="0"/>
                <w:sz w:val="28"/>
                <w:szCs w:val="28"/>
              </w:rPr>
            </w:pPr>
            <w:r>
              <w:rPr>
                <w:rFonts w:ascii="Times New Roman Regular" w:eastAsia="仿宋_GB2312" w:hAnsi="Times New Roman Regular" w:cs="Times New Roman Regular"/>
                <w:color w:val="000000"/>
                <w:kern w:val="0"/>
                <w:sz w:val="28"/>
                <w:szCs w:val="28"/>
              </w:rPr>
              <w:t>6</w:t>
            </w:r>
          </w:p>
        </w:tc>
        <w:tc>
          <w:tcPr>
            <w:tcW w:w="7850" w:type="dxa"/>
          </w:tcPr>
          <w:p w14:paraId="1D8DFBE4" w14:textId="77777777" w:rsidR="00BB3C04" w:rsidRDefault="00000000">
            <w:pPr>
              <w:spacing w:line="360" w:lineRule="auto"/>
              <w:rPr>
                <w:rFonts w:ascii="仿宋_GB2312" w:eastAsia="仿宋_GB2312"/>
                <w:color w:val="000000"/>
                <w:kern w:val="0"/>
                <w:sz w:val="28"/>
                <w:szCs w:val="28"/>
              </w:rPr>
            </w:pPr>
            <w:r>
              <w:rPr>
                <w:rFonts w:ascii="Times New Roman Regular" w:hAnsi="Times New Roman Regular" w:cs="Times New Roman Regular"/>
                <w:sz w:val="24"/>
                <w:szCs w:val="24"/>
              </w:rPr>
              <w:t>Zhang Y, Zhang Y, Li X, Zhang M, </w:t>
            </w:r>
            <w:proofErr w:type="spellStart"/>
            <w:r>
              <w:rPr>
                <w:rFonts w:ascii="Times New Roman Regular" w:hAnsi="Times New Roman Regular" w:cs="Times New Roman Regular"/>
                <w:sz w:val="24"/>
                <w:szCs w:val="24"/>
              </w:rPr>
              <w:t>Lv</w:t>
            </w:r>
            <w:proofErr w:type="spellEnd"/>
            <w:r>
              <w:rPr>
                <w:rFonts w:ascii="Times New Roman Regular" w:hAnsi="Times New Roman Regular" w:cs="Times New Roman Regular"/>
                <w:sz w:val="24"/>
                <w:szCs w:val="24"/>
              </w:rPr>
              <w:t xml:space="preserve"> K. </w:t>
            </w:r>
            <w:hyperlink r:id="rId7" w:history="1">
              <w:r>
                <w:rPr>
                  <w:rFonts w:ascii="Times New Roman Regular" w:hAnsi="Times New Roman Regular" w:cs="Times New Roman Regular"/>
                  <w:sz w:val="24"/>
                  <w:szCs w:val="24"/>
                </w:rPr>
                <w:t>Microarray analysis of circular RNA expression patterns in polarized macrophages.</w:t>
              </w:r>
            </w:hyperlink>
            <w:r>
              <w:rPr>
                <w:rFonts w:ascii="Times New Roman Regular" w:hAnsi="Times New Roman Regular" w:cs="Times New Roman Regular"/>
                <w:sz w:val="24"/>
                <w:szCs w:val="24"/>
              </w:rPr>
              <w:t xml:space="preserve"> Int J Mol Med. 2017 Feb;39(2):373-379.</w:t>
            </w:r>
          </w:p>
        </w:tc>
      </w:tr>
      <w:tr w:rsidR="00BB3C04" w14:paraId="4649A283" w14:textId="77777777">
        <w:tc>
          <w:tcPr>
            <w:tcW w:w="672" w:type="dxa"/>
          </w:tcPr>
          <w:p w14:paraId="3B3B4240" w14:textId="77777777" w:rsidR="00BB3C04" w:rsidRDefault="00000000">
            <w:pPr>
              <w:adjustRightInd w:val="0"/>
              <w:snapToGrid w:val="0"/>
              <w:spacing w:line="440" w:lineRule="exact"/>
              <w:rPr>
                <w:rFonts w:ascii="Times New Roman Regular" w:eastAsia="仿宋_GB2312" w:hAnsi="Times New Roman Regular" w:cs="Times New Roman Regular" w:hint="eastAsia"/>
                <w:color w:val="000000"/>
                <w:kern w:val="0"/>
                <w:sz w:val="28"/>
                <w:szCs w:val="28"/>
              </w:rPr>
            </w:pPr>
            <w:r>
              <w:rPr>
                <w:rFonts w:ascii="Times New Roman Regular" w:eastAsia="仿宋_GB2312" w:hAnsi="Times New Roman Regular" w:cs="Times New Roman Regular"/>
                <w:color w:val="000000"/>
                <w:kern w:val="0"/>
                <w:sz w:val="28"/>
                <w:szCs w:val="28"/>
              </w:rPr>
              <w:t>7</w:t>
            </w:r>
          </w:p>
        </w:tc>
        <w:tc>
          <w:tcPr>
            <w:tcW w:w="7850" w:type="dxa"/>
          </w:tcPr>
          <w:p w14:paraId="6B696B63" w14:textId="77777777" w:rsidR="00BB3C04" w:rsidRDefault="00000000">
            <w:pPr>
              <w:spacing w:line="360" w:lineRule="auto"/>
              <w:rPr>
                <w:rFonts w:ascii="仿宋_GB2312" w:eastAsia="仿宋_GB2312"/>
                <w:color w:val="000000"/>
                <w:kern w:val="0"/>
                <w:sz w:val="28"/>
                <w:szCs w:val="28"/>
              </w:rPr>
            </w:pPr>
            <w:r>
              <w:rPr>
                <w:rFonts w:ascii="Times New Roman Regular" w:hAnsi="Times New Roman Regular" w:cs="Times New Roman Regular"/>
                <w:sz w:val="24"/>
                <w:szCs w:val="24"/>
              </w:rPr>
              <w:t>Zhang Y, Zhang M, Li X, Tang Z, He L, </w:t>
            </w:r>
            <w:proofErr w:type="spellStart"/>
            <w:r>
              <w:rPr>
                <w:rFonts w:ascii="Times New Roman Regular" w:hAnsi="Times New Roman Regular" w:cs="Times New Roman Regular"/>
                <w:sz w:val="24"/>
                <w:szCs w:val="24"/>
              </w:rPr>
              <w:t>Lv</w:t>
            </w:r>
            <w:proofErr w:type="spellEnd"/>
            <w:r>
              <w:rPr>
                <w:rFonts w:ascii="Times New Roman Regular" w:hAnsi="Times New Roman Regular" w:cs="Times New Roman Regular"/>
                <w:sz w:val="24"/>
                <w:szCs w:val="24"/>
              </w:rPr>
              <w:t xml:space="preserve"> K. </w:t>
            </w:r>
            <w:hyperlink r:id="rId8" w:history="1">
              <w:r>
                <w:rPr>
                  <w:rFonts w:ascii="Times New Roman Regular" w:hAnsi="Times New Roman Regular" w:cs="Times New Roman Regular"/>
                  <w:sz w:val="24"/>
                  <w:szCs w:val="24"/>
                </w:rPr>
                <w:t xml:space="preserve">Expansion of CD11b+Ly-6C+ myeloid-derived suppressor cells (MDSCs) driven by galectin-9 attenuates </w:t>
              </w:r>
              <w:r>
                <w:rPr>
                  <w:rFonts w:ascii="Times New Roman Regular" w:hAnsi="Times New Roman Regular" w:cs="Times New Roman Regular"/>
                  <w:sz w:val="24"/>
                  <w:szCs w:val="24"/>
                </w:rPr>
                <w:lastRenderedPageBreak/>
                <w:t>CVB3-induced myocarditis.</w:t>
              </w:r>
            </w:hyperlink>
            <w:r>
              <w:rPr>
                <w:rFonts w:ascii="Times New Roman Regular" w:hAnsi="Times New Roman Regular" w:cs="Times New Roman Regular"/>
                <w:sz w:val="24"/>
                <w:szCs w:val="24"/>
              </w:rPr>
              <w:t xml:space="preserve"> Mol Immunol. 2017 </w:t>
            </w:r>
            <w:proofErr w:type="gramStart"/>
            <w:r>
              <w:rPr>
                <w:rFonts w:ascii="Times New Roman Regular" w:hAnsi="Times New Roman Regular" w:cs="Times New Roman Regular"/>
                <w:sz w:val="24"/>
                <w:szCs w:val="24"/>
              </w:rPr>
              <w:t>Mar;83:62</w:t>
            </w:r>
            <w:proofErr w:type="gramEnd"/>
            <w:r>
              <w:rPr>
                <w:rFonts w:ascii="Times New Roman Regular" w:hAnsi="Times New Roman Regular" w:cs="Times New Roman Regular"/>
                <w:sz w:val="24"/>
                <w:szCs w:val="24"/>
              </w:rPr>
              <w:t>-71.</w:t>
            </w:r>
          </w:p>
        </w:tc>
      </w:tr>
      <w:tr w:rsidR="00BB3C04" w14:paraId="48EB2EBB" w14:textId="77777777">
        <w:tc>
          <w:tcPr>
            <w:tcW w:w="672" w:type="dxa"/>
          </w:tcPr>
          <w:p w14:paraId="11EC44A6" w14:textId="77777777" w:rsidR="00BB3C04" w:rsidRDefault="00000000">
            <w:pPr>
              <w:adjustRightInd w:val="0"/>
              <w:snapToGrid w:val="0"/>
              <w:spacing w:line="440" w:lineRule="exact"/>
              <w:rPr>
                <w:rFonts w:ascii="Times New Roman Regular" w:eastAsia="仿宋_GB2312" w:hAnsi="Times New Roman Regular" w:cs="Times New Roman Regular" w:hint="eastAsia"/>
                <w:color w:val="000000"/>
                <w:kern w:val="0"/>
                <w:sz w:val="28"/>
                <w:szCs w:val="28"/>
              </w:rPr>
            </w:pPr>
            <w:r>
              <w:rPr>
                <w:rFonts w:ascii="Times New Roman Regular" w:eastAsia="仿宋_GB2312" w:hAnsi="Times New Roman Regular" w:cs="Times New Roman Regular"/>
                <w:color w:val="000000"/>
                <w:kern w:val="0"/>
                <w:sz w:val="28"/>
                <w:szCs w:val="28"/>
              </w:rPr>
              <w:lastRenderedPageBreak/>
              <w:t>8</w:t>
            </w:r>
          </w:p>
        </w:tc>
        <w:tc>
          <w:tcPr>
            <w:tcW w:w="7850" w:type="dxa"/>
          </w:tcPr>
          <w:p w14:paraId="30124B9A" w14:textId="77777777" w:rsidR="00BB3C04" w:rsidRDefault="00000000">
            <w:pPr>
              <w:adjustRightInd w:val="0"/>
              <w:snapToGrid w:val="0"/>
              <w:spacing w:line="440" w:lineRule="exact"/>
              <w:rPr>
                <w:rFonts w:ascii="仿宋_GB2312" w:eastAsia="仿宋_GB2312"/>
                <w:color w:val="000000"/>
                <w:kern w:val="0"/>
                <w:sz w:val="28"/>
                <w:szCs w:val="28"/>
              </w:rPr>
            </w:pPr>
            <w:proofErr w:type="spellStart"/>
            <w:r>
              <w:rPr>
                <w:rFonts w:ascii="Times New Roman Regular" w:hAnsi="Times New Roman Regular" w:cs="Times New Roman Regular"/>
                <w:sz w:val="24"/>
                <w:szCs w:val="24"/>
              </w:rPr>
              <w:t>Lv</w:t>
            </w:r>
            <w:proofErr w:type="spellEnd"/>
            <w:r>
              <w:rPr>
                <w:rFonts w:ascii="Times New Roman Regular" w:hAnsi="Times New Roman Regular" w:cs="Times New Roman Regular"/>
                <w:sz w:val="24"/>
                <w:szCs w:val="24"/>
              </w:rPr>
              <w:t xml:space="preserve"> K, Zhang Y, Zhang M, Zhong M, Suo Q. </w:t>
            </w:r>
            <w:hyperlink r:id="rId9" w:history="1">
              <w:r>
                <w:rPr>
                  <w:rFonts w:ascii="Times New Roman Regular" w:hAnsi="Times New Roman Regular" w:cs="Times New Roman Regular"/>
                  <w:sz w:val="24"/>
                  <w:szCs w:val="24"/>
                </w:rPr>
                <w:t>Galectin-9 promotes TGF-β1-dependent induction of regulatory T cells via the TGF-β/Smad signaling pathway.</w:t>
              </w:r>
            </w:hyperlink>
            <w:r>
              <w:rPr>
                <w:rFonts w:ascii="Times New Roman Regular" w:hAnsi="Times New Roman Regular" w:cs="Times New Roman Regular"/>
                <w:sz w:val="24"/>
                <w:szCs w:val="24"/>
              </w:rPr>
              <w:t xml:space="preserve"> Mol Med Rep. 2013 Jan;7(1):205-10. </w:t>
            </w:r>
          </w:p>
        </w:tc>
      </w:tr>
      <w:tr w:rsidR="00BB3C04" w14:paraId="292D48CD" w14:textId="77777777">
        <w:tc>
          <w:tcPr>
            <w:tcW w:w="672" w:type="dxa"/>
          </w:tcPr>
          <w:p w14:paraId="016CA955" w14:textId="77777777" w:rsidR="00BB3C04" w:rsidRDefault="00000000">
            <w:pPr>
              <w:adjustRightInd w:val="0"/>
              <w:snapToGrid w:val="0"/>
              <w:spacing w:line="440" w:lineRule="exact"/>
              <w:rPr>
                <w:rFonts w:ascii="Times New Roman Regular" w:eastAsia="仿宋_GB2312" w:hAnsi="Times New Roman Regular" w:cs="Times New Roman Regular" w:hint="eastAsia"/>
                <w:color w:val="000000"/>
                <w:kern w:val="0"/>
                <w:sz w:val="28"/>
                <w:szCs w:val="28"/>
              </w:rPr>
            </w:pPr>
            <w:r>
              <w:rPr>
                <w:rFonts w:ascii="Times New Roman Regular" w:eastAsia="仿宋_GB2312" w:hAnsi="Times New Roman Regular" w:cs="Times New Roman Regular"/>
                <w:color w:val="000000"/>
                <w:kern w:val="0"/>
                <w:sz w:val="28"/>
                <w:szCs w:val="28"/>
              </w:rPr>
              <w:t>9</w:t>
            </w:r>
          </w:p>
        </w:tc>
        <w:tc>
          <w:tcPr>
            <w:tcW w:w="7850" w:type="dxa"/>
          </w:tcPr>
          <w:p w14:paraId="40A8DCD9" w14:textId="77777777" w:rsidR="00BB3C04" w:rsidRDefault="00000000">
            <w:pPr>
              <w:spacing w:line="360" w:lineRule="auto"/>
              <w:rPr>
                <w:rFonts w:ascii="仿宋_GB2312" w:eastAsia="仿宋_GB2312"/>
                <w:color w:val="000000"/>
                <w:kern w:val="0"/>
                <w:sz w:val="28"/>
                <w:szCs w:val="28"/>
              </w:rPr>
            </w:pPr>
            <w:r>
              <w:rPr>
                <w:rFonts w:ascii="Times New Roman Regular" w:hAnsi="Times New Roman Regular" w:cs="Times New Roman Regular"/>
                <w:sz w:val="24"/>
                <w:szCs w:val="24"/>
              </w:rPr>
              <w:t>Zhang Y, Li X, Wang D, Jiang X, Zhang M, </w:t>
            </w:r>
            <w:proofErr w:type="spellStart"/>
            <w:r>
              <w:rPr>
                <w:rFonts w:ascii="Times New Roman Regular" w:hAnsi="Times New Roman Regular" w:cs="Times New Roman Regular"/>
                <w:sz w:val="24"/>
                <w:szCs w:val="24"/>
              </w:rPr>
              <w:t>Lv</w:t>
            </w:r>
            <w:proofErr w:type="spellEnd"/>
            <w:r>
              <w:rPr>
                <w:rFonts w:ascii="Times New Roman Regular" w:hAnsi="Times New Roman Regular" w:cs="Times New Roman Regular"/>
                <w:sz w:val="24"/>
                <w:szCs w:val="24"/>
              </w:rPr>
              <w:t xml:space="preserve"> K. </w:t>
            </w:r>
            <w:hyperlink r:id="rId10" w:history="1">
              <w:r>
                <w:rPr>
                  <w:rFonts w:ascii="Times New Roman Regular" w:hAnsi="Times New Roman Regular" w:cs="Times New Roman Regular"/>
                  <w:sz w:val="24"/>
                  <w:szCs w:val="24"/>
                </w:rPr>
                <w:t>Serum exosome microRNA panel as a noninvasive biomarker for molecular diagnosis of fulminant myocarditis.</w:t>
              </w:r>
            </w:hyperlink>
            <w:r>
              <w:rPr>
                <w:rFonts w:ascii="Times New Roman Regular" w:hAnsi="Times New Roman Regular" w:cs="Times New Roman Regular"/>
                <w:sz w:val="24"/>
                <w:szCs w:val="24"/>
              </w:rPr>
              <w:t xml:space="preserve"> Mol </w:t>
            </w:r>
            <w:proofErr w:type="spellStart"/>
            <w:r>
              <w:rPr>
                <w:rFonts w:ascii="Times New Roman Regular" w:hAnsi="Times New Roman Regular" w:cs="Times New Roman Regular"/>
                <w:sz w:val="24"/>
                <w:szCs w:val="24"/>
              </w:rPr>
              <w:t>Ther</w:t>
            </w:r>
            <w:proofErr w:type="spellEnd"/>
            <w:r>
              <w:rPr>
                <w:rFonts w:ascii="Times New Roman Regular" w:hAnsi="Times New Roman Regular" w:cs="Times New Roman Regular"/>
                <w:sz w:val="24"/>
                <w:szCs w:val="24"/>
              </w:rPr>
              <w:t xml:space="preserve"> Methods Clin Dev. 2020 Nov 17;20:142-151.</w:t>
            </w:r>
          </w:p>
        </w:tc>
      </w:tr>
      <w:tr w:rsidR="00BB3C04" w14:paraId="37CB852A" w14:textId="77777777">
        <w:tc>
          <w:tcPr>
            <w:tcW w:w="672" w:type="dxa"/>
          </w:tcPr>
          <w:p w14:paraId="494EA8DA" w14:textId="77777777" w:rsidR="00BB3C04" w:rsidRDefault="00000000">
            <w:pPr>
              <w:adjustRightInd w:val="0"/>
              <w:snapToGrid w:val="0"/>
              <w:spacing w:line="440" w:lineRule="exact"/>
              <w:rPr>
                <w:rFonts w:ascii="Times New Roman Regular" w:eastAsia="仿宋_GB2312" w:hAnsi="Times New Roman Regular" w:cs="Times New Roman Regular" w:hint="eastAsia"/>
                <w:color w:val="000000"/>
                <w:kern w:val="0"/>
                <w:sz w:val="28"/>
                <w:szCs w:val="28"/>
              </w:rPr>
            </w:pPr>
            <w:r>
              <w:rPr>
                <w:rFonts w:ascii="Times New Roman Regular" w:eastAsia="仿宋_GB2312" w:hAnsi="Times New Roman Regular" w:cs="Times New Roman Regular"/>
                <w:color w:val="000000"/>
                <w:kern w:val="0"/>
                <w:sz w:val="28"/>
                <w:szCs w:val="28"/>
              </w:rPr>
              <w:t>10</w:t>
            </w:r>
          </w:p>
        </w:tc>
        <w:tc>
          <w:tcPr>
            <w:tcW w:w="7850" w:type="dxa"/>
          </w:tcPr>
          <w:p w14:paraId="69B09EDD" w14:textId="77777777" w:rsidR="00BB3C04" w:rsidRDefault="00000000">
            <w:pPr>
              <w:spacing w:line="360" w:lineRule="auto"/>
              <w:rPr>
                <w:rFonts w:ascii="仿宋_GB2312" w:eastAsia="仿宋_GB2312"/>
                <w:color w:val="000000"/>
                <w:kern w:val="0"/>
                <w:sz w:val="28"/>
                <w:szCs w:val="28"/>
              </w:rPr>
            </w:pPr>
            <w:r>
              <w:rPr>
                <w:rFonts w:ascii="Times New Roman Regular" w:hAnsi="Times New Roman Regular" w:cs="Times New Roman Regular"/>
                <w:sz w:val="24"/>
                <w:szCs w:val="24"/>
              </w:rPr>
              <w:t>Jiang L, Li X, Zhang Y, Zhang M, Tang Z, </w:t>
            </w:r>
            <w:proofErr w:type="spellStart"/>
            <w:r>
              <w:rPr>
                <w:rFonts w:ascii="Times New Roman Regular" w:hAnsi="Times New Roman Regular" w:cs="Times New Roman Regular"/>
                <w:sz w:val="24"/>
                <w:szCs w:val="24"/>
              </w:rPr>
              <w:t>Lv</w:t>
            </w:r>
            <w:proofErr w:type="spellEnd"/>
            <w:r>
              <w:rPr>
                <w:rFonts w:ascii="Times New Roman Regular" w:hAnsi="Times New Roman Regular" w:cs="Times New Roman Regular"/>
                <w:sz w:val="24"/>
                <w:szCs w:val="24"/>
              </w:rPr>
              <w:t xml:space="preserve"> K. </w:t>
            </w:r>
            <w:hyperlink r:id="rId11" w:history="1">
              <w:r>
                <w:rPr>
                  <w:rFonts w:ascii="Times New Roman Regular" w:hAnsi="Times New Roman Regular" w:cs="Times New Roman Regular"/>
                  <w:sz w:val="24"/>
                  <w:szCs w:val="24"/>
                </w:rPr>
                <w:t>Microarray and bioinformatics analyses of gene expression profiles in BALB/c murine macrophage polarization.</w:t>
              </w:r>
            </w:hyperlink>
            <w:r>
              <w:rPr>
                <w:rFonts w:ascii="Times New Roman Regular" w:hAnsi="Times New Roman Regular" w:cs="Times New Roman Regular"/>
                <w:sz w:val="24"/>
                <w:szCs w:val="24"/>
              </w:rPr>
              <w:t xml:space="preserve"> Mol Med Rep. 2017 Nov;16(5):7382-7390. </w:t>
            </w:r>
          </w:p>
        </w:tc>
      </w:tr>
      <w:tr w:rsidR="00BB3C04" w14:paraId="51915612" w14:textId="77777777">
        <w:tc>
          <w:tcPr>
            <w:tcW w:w="672" w:type="dxa"/>
          </w:tcPr>
          <w:p w14:paraId="15C05FEC" w14:textId="77777777" w:rsidR="00BB3C04" w:rsidRDefault="00000000">
            <w:pPr>
              <w:adjustRightInd w:val="0"/>
              <w:snapToGrid w:val="0"/>
              <w:spacing w:line="440" w:lineRule="exact"/>
              <w:rPr>
                <w:rFonts w:ascii="Times New Roman Regular" w:eastAsia="仿宋_GB2312" w:hAnsi="Times New Roman Regular" w:cs="Times New Roman Regular" w:hint="eastAsia"/>
                <w:color w:val="000000"/>
                <w:kern w:val="0"/>
                <w:sz w:val="28"/>
                <w:szCs w:val="28"/>
              </w:rPr>
            </w:pPr>
            <w:r>
              <w:rPr>
                <w:rFonts w:ascii="Times New Roman Regular" w:eastAsia="仿宋_GB2312" w:hAnsi="Times New Roman Regular" w:cs="Times New Roman Regular"/>
                <w:color w:val="000000"/>
                <w:kern w:val="0"/>
                <w:sz w:val="28"/>
                <w:szCs w:val="28"/>
              </w:rPr>
              <w:t>11</w:t>
            </w:r>
          </w:p>
        </w:tc>
        <w:tc>
          <w:tcPr>
            <w:tcW w:w="7850" w:type="dxa"/>
          </w:tcPr>
          <w:p w14:paraId="102C950A" w14:textId="77777777" w:rsidR="00BB3C04" w:rsidRDefault="00000000">
            <w:pPr>
              <w:spacing w:line="360" w:lineRule="auto"/>
              <w:rPr>
                <w:rFonts w:ascii="Times New Roman Regular" w:hAnsi="Times New Roman Regular" w:cs="Times New Roman Regular" w:hint="eastAsia"/>
                <w:sz w:val="24"/>
                <w:szCs w:val="24"/>
              </w:rPr>
            </w:pPr>
            <w:r>
              <w:rPr>
                <w:rFonts w:ascii="Times New Roman Regular" w:hAnsi="Times New Roman Regular" w:cs="Times New Roman Regular"/>
                <w:sz w:val="24"/>
                <w:szCs w:val="24"/>
              </w:rPr>
              <w:t>Zhang Y, Zhang M, Li X, Tang Z, Wang X, Zhong M, Suo Q, Zhang Y, </w:t>
            </w:r>
            <w:proofErr w:type="spellStart"/>
            <w:r>
              <w:rPr>
                <w:rFonts w:ascii="Times New Roman Regular" w:hAnsi="Times New Roman Regular" w:cs="Times New Roman Regular"/>
                <w:sz w:val="24"/>
                <w:szCs w:val="24"/>
              </w:rPr>
              <w:t>Lv</w:t>
            </w:r>
            <w:proofErr w:type="spellEnd"/>
            <w:r>
              <w:rPr>
                <w:rFonts w:ascii="Times New Roman Regular" w:hAnsi="Times New Roman Regular" w:cs="Times New Roman Regular"/>
                <w:sz w:val="24"/>
                <w:szCs w:val="24"/>
              </w:rPr>
              <w:t xml:space="preserve"> K. </w:t>
            </w:r>
            <w:hyperlink r:id="rId12" w:history="1">
              <w:r>
                <w:rPr>
                  <w:rFonts w:ascii="Times New Roman Regular" w:hAnsi="Times New Roman Regular" w:cs="Times New Roman Regular"/>
                  <w:sz w:val="24"/>
                  <w:szCs w:val="24"/>
                </w:rPr>
                <w:t>Silencing MicroRNA-155 Attenuates Cardiac Injury and Dysfunction in Viral Myocarditis via Promotion of M2 Phenotype Polarization of Macrophages.</w:t>
              </w:r>
            </w:hyperlink>
          </w:p>
          <w:p w14:paraId="195E4BDE" w14:textId="77777777" w:rsidR="00BB3C04" w:rsidRDefault="00000000">
            <w:pPr>
              <w:spacing w:line="360" w:lineRule="auto"/>
              <w:rPr>
                <w:rFonts w:ascii="仿宋_GB2312" w:eastAsia="仿宋_GB2312"/>
                <w:color w:val="000000"/>
                <w:kern w:val="0"/>
                <w:sz w:val="28"/>
                <w:szCs w:val="28"/>
              </w:rPr>
            </w:pPr>
            <w:r>
              <w:rPr>
                <w:rFonts w:ascii="Times New Roman Regular" w:hAnsi="Times New Roman Regular" w:cs="Times New Roman Regular"/>
                <w:sz w:val="24"/>
                <w:szCs w:val="24"/>
              </w:rPr>
              <w:t xml:space="preserve">Sci Rep. 2016 Mar </w:t>
            </w:r>
            <w:proofErr w:type="gramStart"/>
            <w:r>
              <w:rPr>
                <w:rFonts w:ascii="Times New Roman Regular" w:hAnsi="Times New Roman Regular" w:cs="Times New Roman Regular"/>
                <w:sz w:val="24"/>
                <w:szCs w:val="24"/>
              </w:rPr>
              <w:t>2;6:22613</w:t>
            </w:r>
            <w:proofErr w:type="gramEnd"/>
            <w:r>
              <w:rPr>
                <w:rFonts w:ascii="Times New Roman Regular" w:hAnsi="Times New Roman Regular" w:cs="Times New Roman Regular"/>
                <w:sz w:val="24"/>
                <w:szCs w:val="24"/>
              </w:rPr>
              <w:t>. </w:t>
            </w:r>
          </w:p>
        </w:tc>
      </w:tr>
      <w:tr w:rsidR="00BB3C04" w14:paraId="2291B2F8" w14:textId="77777777">
        <w:tc>
          <w:tcPr>
            <w:tcW w:w="672" w:type="dxa"/>
          </w:tcPr>
          <w:p w14:paraId="4F9FC2E2" w14:textId="77777777" w:rsidR="00BB3C04" w:rsidRDefault="00000000">
            <w:pPr>
              <w:adjustRightInd w:val="0"/>
              <w:snapToGrid w:val="0"/>
              <w:spacing w:line="440" w:lineRule="exact"/>
              <w:rPr>
                <w:rFonts w:ascii="Times New Roman Regular" w:eastAsia="仿宋_GB2312" w:hAnsi="Times New Roman Regular" w:cs="Times New Roman Regular" w:hint="eastAsia"/>
                <w:color w:val="000000"/>
                <w:kern w:val="0"/>
                <w:sz w:val="28"/>
                <w:szCs w:val="28"/>
              </w:rPr>
            </w:pPr>
            <w:r>
              <w:rPr>
                <w:rFonts w:ascii="Times New Roman Regular" w:eastAsia="仿宋_GB2312" w:hAnsi="Times New Roman Regular" w:cs="Times New Roman Regular"/>
                <w:color w:val="000000"/>
                <w:kern w:val="0"/>
                <w:sz w:val="28"/>
                <w:szCs w:val="28"/>
              </w:rPr>
              <w:t>12</w:t>
            </w:r>
          </w:p>
        </w:tc>
        <w:tc>
          <w:tcPr>
            <w:tcW w:w="7850" w:type="dxa"/>
          </w:tcPr>
          <w:p w14:paraId="3F0449D8" w14:textId="77777777" w:rsidR="00BB3C04" w:rsidRDefault="00000000">
            <w:pPr>
              <w:spacing w:line="360" w:lineRule="auto"/>
              <w:rPr>
                <w:rFonts w:ascii="仿宋_GB2312" w:eastAsia="仿宋_GB2312"/>
                <w:color w:val="000000"/>
                <w:kern w:val="0"/>
                <w:sz w:val="28"/>
                <w:szCs w:val="28"/>
              </w:rPr>
            </w:pPr>
            <w:r>
              <w:rPr>
                <w:rFonts w:ascii="Times New Roman Regular" w:hAnsi="Times New Roman Regular" w:cs="Times New Roman Regular"/>
                <w:sz w:val="24"/>
                <w:szCs w:val="24"/>
              </w:rPr>
              <w:t>Zhang Y, Jiang L, Zhang M, </w:t>
            </w:r>
            <w:proofErr w:type="spellStart"/>
            <w:r>
              <w:rPr>
                <w:rFonts w:ascii="Times New Roman Regular" w:hAnsi="Times New Roman Regular" w:cs="Times New Roman Regular"/>
                <w:sz w:val="24"/>
                <w:szCs w:val="24"/>
              </w:rPr>
              <w:t>Lv</w:t>
            </w:r>
            <w:proofErr w:type="spellEnd"/>
            <w:r>
              <w:rPr>
                <w:rFonts w:ascii="Times New Roman Regular" w:hAnsi="Times New Roman Regular" w:cs="Times New Roman Regular"/>
                <w:sz w:val="24"/>
                <w:szCs w:val="24"/>
              </w:rPr>
              <w:t xml:space="preserve"> K. </w:t>
            </w:r>
            <w:hyperlink r:id="rId13" w:history="1">
              <w:r>
                <w:rPr>
                  <w:rFonts w:ascii="Times New Roman Regular" w:hAnsi="Times New Roman Regular" w:cs="Times New Roman Regular"/>
                  <w:sz w:val="24"/>
                  <w:szCs w:val="24"/>
                </w:rPr>
                <w:t>Galectin-9 induced myeloid suppressor cells expand regulatory T cells in an IL-10-dependent manner in CVB3-induced acute myocarditis.</w:t>
              </w:r>
            </w:hyperlink>
            <w:r>
              <w:rPr>
                <w:rFonts w:ascii="Times New Roman Regular" w:hAnsi="Times New Roman Regular" w:cs="Times New Roman Regular"/>
                <w:sz w:val="24"/>
                <w:szCs w:val="24"/>
              </w:rPr>
              <w:t xml:space="preserve"> Int J Mol Sci. 2014 Feb 25;15(3):3356-72.</w:t>
            </w:r>
          </w:p>
        </w:tc>
      </w:tr>
      <w:tr w:rsidR="00BB3C04" w14:paraId="53E56A29" w14:textId="77777777">
        <w:tc>
          <w:tcPr>
            <w:tcW w:w="672" w:type="dxa"/>
          </w:tcPr>
          <w:p w14:paraId="4A8BA338" w14:textId="77777777" w:rsidR="00BB3C04" w:rsidRDefault="00000000">
            <w:pPr>
              <w:adjustRightInd w:val="0"/>
              <w:snapToGrid w:val="0"/>
              <w:spacing w:line="440" w:lineRule="exact"/>
              <w:rPr>
                <w:rFonts w:ascii="Times New Roman Regular" w:eastAsia="仿宋_GB2312" w:hAnsi="Times New Roman Regular" w:cs="Times New Roman Regular" w:hint="eastAsia"/>
                <w:color w:val="000000"/>
                <w:kern w:val="0"/>
                <w:sz w:val="28"/>
                <w:szCs w:val="28"/>
              </w:rPr>
            </w:pPr>
            <w:r>
              <w:rPr>
                <w:rFonts w:ascii="Times New Roman Regular" w:eastAsia="仿宋_GB2312" w:hAnsi="Times New Roman Regular" w:cs="Times New Roman Regular"/>
                <w:color w:val="000000"/>
                <w:kern w:val="0"/>
                <w:sz w:val="28"/>
                <w:szCs w:val="28"/>
              </w:rPr>
              <w:t>13</w:t>
            </w:r>
          </w:p>
        </w:tc>
        <w:tc>
          <w:tcPr>
            <w:tcW w:w="7850" w:type="dxa"/>
          </w:tcPr>
          <w:p w14:paraId="6A016DFD" w14:textId="77777777" w:rsidR="00BB3C04" w:rsidRDefault="00000000">
            <w:pPr>
              <w:spacing w:line="360" w:lineRule="auto"/>
              <w:rPr>
                <w:rFonts w:ascii="仿宋_GB2312" w:eastAsia="仿宋_GB2312"/>
                <w:color w:val="000000"/>
                <w:kern w:val="0"/>
                <w:sz w:val="28"/>
                <w:szCs w:val="28"/>
              </w:rPr>
            </w:pPr>
            <w:r>
              <w:rPr>
                <w:rFonts w:ascii="Times New Roman Regular" w:hAnsi="Times New Roman Regular" w:cs="Times New Roman Regular"/>
                <w:sz w:val="24"/>
                <w:szCs w:val="24"/>
              </w:rPr>
              <w:t>张勇，张奇，王德国，宋骏，吕坤。成人病毒</w:t>
            </w:r>
            <w:proofErr w:type="gramStart"/>
            <w:r>
              <w:rPr>
                <w:rFonts w:ascii="Times New Roman Regular" w:hAnsi="Times New Roman Regular" w:cs="Times New Roman Regular"/>
                <w:sz w:val="24"/>
                <w:szCs w:val="24"/>
              </w:rPr>
              <w:t>眭</w:t>
            </w:r>
            <w:proofErr w:type="gramEnd"/>
            <w:r>
              <w:rPr>
                <w:rFonts w:ascii="Times New Roman Regular" w:hAnsi="Times New Roman Regular" w:cs="Times New Roman Regular"/>
                <w:sz w:val="24"/>
                <w:szCs w:val="24"/>
              </w:rPr>
              <w:t>心肌炎患者</w:t>
            </w:r>
            <w:r>
              <w:rPr>
                <w:rFonts w:ascii="Times New Roman Regular" w:hAnsi="Times New Roman Regular" w:cs="Times New Roman Regular"/>
                <w:sz w:val="24"/>
                <w:szCs w:val="24"/>
              </w:rPr>
              <w:t>QRS—T</w:t>
            </w:r>
            <w:r>
              <w:rPr>
                <w:rFonts w:ascii="Times New Roman Regular" w:hAnsi="Times New Roman Regular" w:cs="Times New Roman Regular"/>
                <w:sz w:val="24"/>
                <w:szCs w:val="24"/>
              </w:rPr>
              <w:t>夹角增宽的意义，临床心电学杂志，</w:t>
            </w:r>
            <w:r>
              <w:rPr>
                <w:rFonts w:ascii="Times New Roman Regular" w:hAnsi="Times New Roman Regular" w:cs="Times New Roman Regular"/>
                <w:sz w:val="24"/>
                <w:szCs w:val="24"/>
              </w:rPr>
              <w:t>2020</w:t>
            </w:r>
            <w:r>
              <w:rPr>
                <w:rFonts w:ascii="Times New Roman Regular" w:hAnsi="Times New Roman Regular" w:cs="Times New Roman Regular"/>
                <w:sz w:val="24"/>
                <w:szCs w:val="24"/>
              </w:rPr>
              <w:t>年</w:t>
            </w:r>
            <w:r>
              <w:rPr>
                <w:rFonts w:ascii="Times New Roman Regular" w:hAnsi="Times New Roman Regular" w:cs="Times New Roman Regular"/>
                <w:sz w:val="24"/>
                <w:szCs w:val="24"/>
              </w:rPr>
              <w:t>06</w:t>
            </w:r>
            <w:r>
              <w:rPr>
                <w:rFonts w:ascii="Times New Roman Regular" w:hAnsi="Times New Roman Regular" w:cs="Times New Roman Regular"/>
                <w:sz w:val="24"/>
                <w:szCs w:val="24"/>
              </w:rPr>
              <w:t>月第</w:t>
            </w:r>
            <w:r>
              <w:rPr>
                <w:rFonts w:ascii="Times New Roman Regular" w:hAnsi="Times New Roman Regular" w:cs="Times New Roman Regular"/>
                <w:sz w:val="24"/>
                <w:szCs w:val="24"/>
              </w:rPr>
              <w:t>29</w:t>
            </w:r>
            <w:r>
              <w:rPr>
                <w:rFonts w:ascii="Times New Roman Regular" w:hAnsi="Times New Roman Regular" w:cs="Times New Roman Regular"/>
                <w:sz w:val="24"/>
                <w:szCs w:val="24"/>
              </w:rPr>
              <w:t>卷第</w:t>
            </w:r>
            <w:r>
              <w:rPr>
                <w:rFonts w:ascii="Times New Roman Regular" w:hAnsi="Times New Roman Regular" w:cs="Times New Roman Regular"/>
                <w:sz w:val="24"/>
                <w:szCs w:val="24"/>
              </w:rPr>
              <w:t>3</w:t>
            </w:r>
            <w:r>
              <w:rPr>
                <w:rFonts w:ascii="Times New Roman Regular" w:hAnsi="Times New Roman Regular" w:cs="Times New Roman Regular"/>
                <w:sz w:val="24"/>
                <w:szCs w:val="24"/>
              </w:rPr>
              <w:t>期。</w:t>
            </w:r>
          </w:p>
        </w:tc>
      </w:tr>
      <w:tr w:rsidR="00BB3C04" w14:paraId="6ABA1FA5" w14:textId="77777777">
        <w:tc>
          <w:tcPr>
            <w:tcW w:w="672" w:type="dxa"/>
          </w:tcPr>
          <w:p w14:paraId="23268C46" w14:textId="77777777" w:rsidR="00BB3C04" w:rsidRDefault="00000000">
            <w:pPr>
              <w:adjustRightInd w:val="0"/>
              <w:snapToGrid w:val="0"/>
              <w:spacing w:line="440" w:lineRule="exact"/>
              <w:rPr>
                <w:rFonts w:ascii="Times New Roman Regular" w:eastAsia="仿宋_GB2312" w:hAnsi="Times New Roman Regular" w:cs="Times New Roman Regular" w:hint="eastAsia"/>
                <w:color w:val="000000"/>
                <w:kern w:val="0"/>
                <w:sz w:val="28"/>
                <w:szCs w:val="28"/>
              </w:rPr>
            </w:pPr>
            <w:r>
              <w:rPr>
                <w:rFonts w:ascii="Times New Roman Regular" w:eastAsia="仿宋_GB2312" w:hAnsi="Times New Roman Regular" w:cs="Times New Roman Regular"/>
                <w:color w:val="000000"/>
                <w:kern w:val="0"/>
                <w:sz w:val="28"/>
                <w:szCs w:val="28"/>
              </w:rPr>
              <w:t>14</w:t>
            </w:r>
          </w:p>
        </w:tc>
        <w:tc>
          <w:tcPr>
            <w:tcW w:w="7850" w:type="dxa"/>
          </w:tcPr>
          <w:p w14:paraId="18E02A0E" w14:textId="77777777" w:rsidR="00BB3C04" w:rsidRDefault="00000000">
            <w:pPr>
              <w:spacing w:line="360" w:lineRule="auto"/>
              <w:rPr>
                <w:rFonts w:ascii="仿宋_GB2312" w:eastAsia="仿宋_GB2312"/>
                <w:color w:val="000000"/>
                <w:kern w:val="0"/>
                <w:sz w:val="28"/>
                <w:szCs w:val="28"/>
              </w:rPr>
            </w:pPr>
            <w:r>
              <w:rPr>
                <w:rFonts w:ascii="Times New Roman Regular" w:hAnsi="Times New Roman Regular" w:cs="Times New Roman Regular"/>
                <w:sz w:val="24"/>
                <w:szCs w:val="24"/>
                <w:lang w:eastAsia="zh-Hans"/>
              </w:rPr>
              <w:t>王德国</w:t>
            </w:r>
            <w:r>
              <w:rPr>
                <w:rFonts w:ascii="Times New Roman Regular" w:hAnsi="Times New Roman Regular" w:cs="Times New Roman Regular"/>
                <w:sz w:val="24"/>
                <w:szCs w:val="24"/>
                <w:lang w:eastAsia="zh-Hans"/>
              </w:rPr>
              <w:t xml:space="preserve">, </w:t>
            </w:r>
            <w:r>
              <w:rPr>
                <w:rFonts w:ascii="Times New Roman Regular" w:hAnsi="Times New Roman Regular" w:cs="Times New Roman Regular"/>
                <w:sz w:val="24"/>
                <w:szCs w:val="24"/>
                <w:lang w:eastAsia="zh-Hans"/>
              </w:rPr>
              <w:t>吴</w:t>
            </w:r>
            <w:r>
              <w:rPr>
                <w:rFonts w:ascii="Times New Roman Regular" w:hAnsi="Times New Roman Regular" w:cs="Times New Roman Regular"/>
                <w:sz w:val="24"/>
                <w:szCs w:val="24"/>
                <w:lang w:eastAsia="zh-Hans"/>
              </w:rPr>
              <w:t xml:space="preserve"> </w:t>
            </w:r>
            <w:r>
              <w:rPr>
                <w:rFonts w:ascii="Times New Roman Regular" w:hAnsi="Times New Roman Regular" w:cs="Times New Roman Regular"/>
                <w:sz w:val="24"/>
                <w:szCs w:val="24"/>
                <w:lang w:eastAsia="zh-Hans"/>
              </w:rPr>
              <w:t>勇</w:t>
            </w:r>
            <w:r>
              <w:rPr>
                <w:rFonts w:ascii="Times New Roman Regular" w:hAnsi="Times New Roman Regular" w:cs="Times New Roman Regular"/>
                <w:sz w:val="24"/>
                <w:szCs w:val="24"/>
                <w:lang w:eastAsia="zh-Hans"/>
              </w:rPr>
              <w:t xml:space="preserve">, </w:t>
            </w:r>
            <w:r>
              <w:rPr>
                <w:rFonts w:ascii="Times New Roman Regular" w:hAnsi="Times New Roman Regular" w:cs="Times New Roman Regular"/>
                <w:sz w:val="24"/>
                <w:szCs w:val="24"/>
                <w:lang w:eastAsia="zh-Hans"/>
              </w:rPr>
              <w:t>宋</w:t>
            </w:r>
            <w:r>
              <w:rPr>
                <w:rFonts w:ascii="Times New Roman Regular" w:hAnsi="Times New Roman Regular" w:cs="Times New Roman Regular"/>
                <w:sz w:val="24"/>
                <w:szCs w:val="24"/>
                <w:lang w:eastAsia="zh-Hans"/>
              </w:rPr>
              <w:t xml:space="preserve"> </w:t>
            </w:r>
            <w:r>
              <w:rPr>
                <w:rFonts w:ascii="Times New Roman Regular" w:hAnsi="Times New Roman Regular" w:cs="Times New Roman Regular"/>
                <w:sz w:val="24"/>
                <w:szCs w:val="24"/>
                <w:lang w:eastAsia="zh-Hans"/>
              </w:rPr>
              <w:t>骏</w:t>
            </w:r>
            <w:r>
              <w:rPr>
                <w:rFonts w:ascii="Times New Roman Regular" w:hAnsi="Times New Roman Regular" w:cs="Times New Roman Regular"/>
                <w:sz w:val="24"/>
                <w:szCs w:val="24"/>
                <w:lang w:eastAsia="zh-Hans"/>
              </w:rPr>
              <w:t xml:space="preserve">, </w:t>
            </w:r>
            <w:r>
              <w:rPr>
                <w:rFonts w:ascii="Times New Roman Regular" w:hAnsi="Times New Roman Regular" w:cs="Times New Roman Regular"/>
                <w:sz w:val="24"/>
                <w:szCs w:val="24"/>
                <w:lang w:eastAsia="zh-Hans"/>
              </w:rPr>
              <w:t>张梦莹</w:t>
            </w:r>
            <w:r>
              <w:rPr>
                <w:rFonts w:ascii="Times New Roman Regular" w:hAnsi="Times New Roman Regular" w:cs="Times New Roman Regular"/>
                <w:sz w:val="24"/>
                <w:szCs w:val="24"/>
                <w:lang w:eastAsia="zh-Hans"/>
              </w:rPr>
              <w:t xml:space="preserve">, </w:t>
            </w:r>
            <w:r>
              <w:rPr>
                <w:rFonts w:ascii="Times New Roman Regular" w:hAnsi="Times New Roman Regular" w:cs="Times New Roman Regular"/>
                <w:sz w:val="24"/>
                <w:szCs w:val="24"/>
                <w:lang w:eastAsia="zh-Hans"/>
              </w:rPr>
              <w:t>钟</w:t>
            </w:r>
            <w:r>
              <w:rPr>
                <w:rFonts w:ascii="Times New Roman Regular" w:hAnsi="Times New Roman Regular" w:cs="Times New Roman Regular"/>
                <w:sz w:val="24"/>
                <w:szCs w:val="24"/>
                <w:lang w:eastAsia="zh-Hans"/>
              </w:rPr>
              <w:t xml:space="preserve"> </w:t>
            </w:r>
            <w:r>
              <w:rPr>
                <w:rFonts w:ascii="Times New Roman Regular" w:hAnsi="Times New Roman Regular" w:cs="Times New Roman Regular"/>
                <w:sz w:val="24"/>
                <w:szCs w:val="24"/>
                <w:lang w:eastAsia="zh-Hans"/>
              </w:rPr>
              <w:t>民</w:t>
            </w:r>
            <w:r>
              <w:rPr>
                <w:rFonts w:ascii="Times New Roman Regular" w:hAnsi="Times New Roman Regular" w:cs="Times New Roman Regular"/>
                <w:sz w:val="24"/>
                <w:szCs w:val="24"/>
                <w:lang w:eastAsia="zh-Hans"/>
              </w:rPr>
              <w:t xml:space="preserve">, </w:t>
            </w:r>
            <w:r>
              <w:rPr>
                <w:rFonts w:ascii="Times New Roman Regular" w:hAnsi="Times New Roman Regular" w:cs="Times New Roman Regular"/>
                <w:sz w:val="24"/>
                <w:szCs w:val="24"/>
                <w:lang w:eastAsia="zh-Hans"/>
              </w:rPr>
              <w:t>吕</w:t>
            </w:r>
            <w:r>
              <w:rPr>
                <w:rFonts w:ascii="Times New Roman Regular" w:hAnsi="Times New Roman Regular" w:cs="Times New Roman Regular"/>
                <w:sz w:val="24"/>
                <w:szCs w:val="24"/>
                <w:lang w:eastAsia="zh-Hans"/>
              </w:rPr>
              <w:t xml:space="preserve"> </w:t>
            </w:r>
            <w:r>
              <w:rPr>
                <w:rFonts w:ascii="Times New Roman Regular" w:hAnsi="Times New Roman Regular" w:cs="Times New Roman Regular"/>
                <w:sz w:val="24"/>
                <w:szCs w:val="24"/>
                <w:lang w:eastAsia="zh-Hans"/>
              </w:rPr>
              <w:t>坤。</w:t>
            </w:r>
            <w:r>
              <w:rPr>
                <w:rFonts w:ascii="Times New Roman Regular" w:eastAsiaTheme="minorEastAsia" w:hAnsi="Times New Roman Regular" w:cs="Times New Roman Regular"/>
                <w:sz w:val="24"/>
                <w:szCs w:val="24"/>
                <w:lang w:eastAsia="zh-Hans"/>
              </w:rPr>
              <w:t>心肌炎患者血清半乳糖凝集素</w:t>
            </w:r>
            <w:r>
              <w:rPr>
                <w:rFonts w:ascii="Times New Roman Regular" w:eastAsiaTheme="minorEastAsia" w:hAnsi="Times New Roman Regular" w:cs="Times New Roman Regular"/>
                <w:sz w:val="24"/>
                <w:szCs w:val="24"/>
                <w:lang w:eastAsia="zh-Hans"/>
              </w:rPr>
              <w:t xml:space="preserve"> - 9 </w:t>
            </w:r>
            <w:r>
              <w:rPr>
                <w:rFonts w:ascii="Times New Roman Regular" w:eastAsiaTheme="minorEastAsia" w:hAnsi="Times New Roman Regular" w:cs="Times New Roman Regular"/>
                <w:sz w:val="24"/>
                <w:szCs w:val="24"/>
                <w:lang w:eastAsia="zh-Hans"/>
              </w:rPr>
              <w:t>白细胞介素</w:t>
            </w:r>
            <w:r>
              <w:rPr>
                <w:rFonts w:ascii="Times New Roman Regular" w:eastAsiaTheme="minorEastAsia" w:hAnsi="Times New Roman Regular" w:cs="Times New Roman Regular"/>
                <w:sz w:val="24"/>
                <w:szCs w:val="24"/>
                <w:lang w:eastAsia="zh-Hans"/>
              </w:rPr>
              <w:t xml:space="preserve"> - 4 γ </w:t>
            </w:r>
            <w:r>
              <w:rPr>
                <w:rFonts w:ascii="Times New Roman Regular" w:eastAsiaTheme="minorEastAsia" w:hAnsi="Times New Roman Regular" w:cs="Times New Roman Regular"/>
                <w:sz w:val="24"/>
                <w:szCs w:val="24"/>
                <w:lang w:eastAsia="zh-Hans"/>
              </w:rPr>
              <w:t>干扰素水平变化及其临床意义</w:t>
            </w:r>
            <w:r>
              <w:rPr>
                <w:rFonts w:ascii="Times New Roman Regular" w:hAnsi="Times New Roman Regular" w:cs="Times New Roman Regular"/>
                <w:sz w:val="24"/>
                <w:szCs w:val="24"/>
                <w:lang w:eastAsia="zh-Hans"/>
              </w:rPr>
              <w:t>。中国急救医学，</w:t>
            </w:r>
            <w:r>
              <w:rPr>
                <w:rFonts w:ascii="Times New Roman Regular" w:hAnsi="Times New Roman Regular" w:cs="Times New Roman Regular"/>
                <w:sz w:val="24"/>
                <w:szCs w:val="24"/>
                <w:lang w:eastAsia="zh-Hans"/>
              </w:rPr>
              <w:t xml:space="preserve"> 2017 </w:t>
            </w:r>
            <w:r>
              <w:rPr>
                <w:rFonts w:ascii="Times New Roman Regular" w:hAnsi="Times New Roman Regular" w:cs="Times New Roman Regular"/>
                <w:sz w:val="24"/>
                <w:szCs w:val="24"/>
                <w:lang w:eastAsia="zh-Hans"/>
              </w:rPr>
              <w:t>年</w:t>
            </w:r>
            <w:r>
              <w:rPr>
                <w:rFonts w:ascii="Times New Roman Regular" w:hAnsi="Times New Roman Regular" w:cs="Times New Roman Regular"/>
                <w:sz w:val="24"/>
                <w:szCs w:val="24"/>
                <w:lang w:eastAsia="zh-Hans"/>
              </w:rPr>
              <w:t xml:space="preserve"> 5 </w:t>
            </w:r>
            <w:r>
              <w:rPr>
                <w:rFonts w:ascii="Times New Roman Regular" w:hAnsi="Times New Roman Regular" w:cs="Times New Roman Regular"/>
                <w:sz w:val="24"/>
                <w:szCs w:val="24"/>
                <w:lang w:eastAsia="zh-Hans"/>
              </w:rPr>
              <w:t>月第</w:t>
            </w:r>
            <w:r>
              <w:rPr>
                <w:rFonts w:ascii="Times New Roman Regular" w:hAnsi="Times New Roman Regular" w:cs="Times New Roman Regular"/>
                <w:sz w:val="24"/>
                <w:szCs w:val="24"/>
                <w:lang w:eastAsia="zh-Hans"/>
              </w:rPr>
              <w:t xml:space="preserve"> 37 </w:t>
            </w:r>
            <w:r>
              <w:rPr>
                <w:rFonts w:ascii="Times New Roman Regular" w:hAnsi="Times New Roman Regular" w:cs="Times New Roman Regular"/>
                <w:sz w:val="24"/>
                <w:szCs w:val="24"/>
                <w:lang w:eastAsia="zh-Hans"/>
              </w:rPr>
              <w:t>卷第</w:t>
            </w:r>
            <w:r>
              <w:rPr>
                <w:rFonts w:ascii="Times New Roman Regular" w:hAnsi="Times New Roman Regular" w:cs="Times New Roman Regular"/>
                <w:sz w:val="24"/>
                <w:szCs w:val="24"/>
                <w:lang w:eastAsia="zh-Hans"/>
              </w:rPr>
              <w:t xml:space="preserve"> 5 </w:t>
            </w:r>
            <w:r>
              <w:rPr>
                <w:rFonts w:ascii="Times New Roman Regular" w:hAnsi="Times New Roman Regular" w:cs="Times New Roman Regular"/>
                <w:sz w:val="24"/>
                <w:szCs w:val="24"/>
                <w:lang w:eastAsia="zh-Hans"/>
              </w:rPr>
              <w:t>期。</w:t>
            </w:r>
          </w:p>
        </w:tc>
      </w:tr>
    </w:tbl>
    <w:p w14:paraId="015CDE81" w14:textId="77777777" w:rsidR="00BB3C04" w:rsidRDefault="00BB3C04">
      <w:pPr>
        <w:adjustRightInd w:val="0"/>
        <w:snapToGrid w:val="0"/>
        <w:spacing w:line="440" w:lineRule="exact"/>
        <w:rPr>
          <w:rFonts w:ascii="仿宋_GB2312" w:eastAsia="仿宋_GB2312"/>
          <w:color w:val="000000"/>
          <w:kern w:val="0"/>
          <w:sz w:val="28"/>
          <w:szCs w:val="28"/>
        </w:rPr>
      </w:pPr>
    </w:p>
    <w:p w14:paraId="62D09B01" w14:textId="77777777" w:rsidR="00BB3C04"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主要知识产权和标准规范等目录：</w:t>
      </w:r>
    </w:p>
    <w:p w14:paraId="77D772A4" w14:textId="77777777" w:rsidR="00BB3C04" w:rsidRDefault="00000000">
      <w:pPr>
        <w:pStyle w:val="Style8"/>
        <w:snapToGrid w:val="0"/>
        <w:spacing w:line="440" w:lineRule="exact"/>
        <w:ind w:firstLineChars="0" w:firstLine="0"/>
        <w:rPr>
          <w:rFonts w:eastAsia="仿宋_GB2312"/>
          <w:b/>
          <w:bCs/>
          <w:color w:val="000000"/>
          <w:kern w:val="0"/>
          <w:sz w:val="28"/>
          <w:szCs w:val="28"/>
        </w:rPr>
      </w:pPr>
      <w:r>
        <w:rPr>
          <w:rFonts w:eastAsia="仿宋_GB2312" w:hint="eastAsia"/>
          <w:b/>
          <w:bCs/>
          <w:color w:val="000000"/>
          <w:kern w:val="0"/>
          <w:sz w:val="28"/>
          <w:szCs w:val="28"/>
        </w:rPr>
        <w:t>申报国际合作促进奖公示内容如下：</w:t>
      </w:r>
    </w:p>
    <w:p w14:paraId="1F55FDDC" w14:textId="77777777" w:rsidR="00BB3C04"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奖项类别：（奖种）</w:t>
      </w:r>
    </w:p>
    <w:p w14:paraId="40F89333" w14:textId="77777777" w:rsidR="00BB3C04"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候选人姓名（或候选组织名称）、国籍、工作单位：</w:t>
      </w:r>
    </w:p>
    <w:p w14:paraId="1B33E0CC" w14:textId="77777777" w:rsidR="00BB3C04"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国内主要合作单位（含排序）：</w:t>
      </w:r>
    </w:p>
    <w:p w14:paraId="3043C0B6" w14:textId="77777777" w:rsidR="00BB3C04" w:rsidRDefault="00000000">
      <w:pPr>
        <w:pStyle w:val="Style8"/>
        <w:snapToGrid w:val="0"/>
        <w:spacing w:line="440" w:lineRule="exact"/>
        <w:ind w:firstLineChars="0" w:firstLine="0"/>
        <w:rPr>
          <w:rFonts w:eastAsia="仿宋_GB2312"/>
          <w:color w:val="000000"/>
          <w:kern w:val="0"/>
          <w:sz w:val="28"/>
          <w:szCs w:val="28"/>
        </w:rPr>
      </w:pPr>
      <w:r>
        <w:rPr>
          <w:rFonts w:eastAsia="仿宋_GB2312" w:hint="eastAsia"/>
          <w:color w:val="000000"/>
          <w:kern w:val="0"/>
          <w:sz w:val="28"/>
          <w:szCs w:val="28"/>
        </w:rPr>
        <w:t>候选人简历或候选组织简介：</w:t>
      </w:r>
    </w:p>
    <w:p w14:paraId="3244CE59" w14:textId="77777777" w:rsidR="00BB3C04" w:rsidRDefault="00BB3C04">
      <w:pPr>
        <w:rPr>
          <w:rFonts w:ascii="仿宋_GB2312" w:eastAsia="仿宋_GB2312"/>
        </w:rPr>
      </w:pPr>
    </w:p>
    <w:sectPr w:rsidR="00BB3C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华文中宋">
    <w:altName w:val="汉仪书宋二KW"/>
    <w:panose1 w:val="02010600040101010101"/>
    <w:charset w:val="86"/>
    <w:family w:val="auto"/>
    <w:pitch w:val="variable"/>
    <w:sig w:usb0="00000287" w:usb1="080F0000" w:usb2="00000010" w:usb3="00000000" w:csb0="0004009F" w:csb1="00000000"/>
  </w:font>
  <w:font w:name="仿宋">
    <w:altName w:val="方正仿宋_GBK"/>
    <w:panose1 w:val="02010609060101010101"/>
    <w:charset w:val="86"/>
    <w:family w:val="modern"/>
    <w:pitch w:val="fixed"/>
    <w:sig w:usb0="800002BF" w:usb1="38CF7CFA" w:usb2="00000016" w:usb3="00000000" w:csb0="00040001" w:csb1="00000000"/>
  </w:font>
  <w:font w:name="Times New Roman Regular">
    <w:altName w:val="Times New Roman"/>
    <w:charset w:val="00"/>
    <w:family w:val="auto"/>
    <w:pitch w:val="default"/>
  </w:font>
  <w:font w:name="Times New Roman Bold">
    <w:panose1 w:val="020208030705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AD55334"/>
    <w:rsid w:val="FBE6105B"/>
    <w:rsid w:val="00060C8C"/>
    <w:rsid w:val="00566686"/>
    <w:rsid w:val="00BB3C04"/>
    <w:rsid w:val="00DB67F3"/>
    <w:rsid w:val="00F0615F"/>
    <w:rsid w:val="0FD1A198"/>
    <w:rsid w:val="2AD55334"/>
    <w:rsid w:val="5FB7A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810EE"/>
  <w15:docId w15:val="{CA8CE00E-696F-4A68-904D-1776B583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spacing w:beforeLines="100" w:afterLines="50"/>
      <w:jc w:val="center"/>
      <w:outlineLvl w:val="0"/>
    </w:pPr>
    <w:rPr>
      <w:rFonts w:eastAsia="黑体"/>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pPr>
      <w:spacing w:line="360" w:lineRule="auto"/>
      <w:ind w:firstLineChars="200" w:firstLine="480"/>
    </w:pPr>
    <w:rPr>
      <w:rFonts w:ascii="仿宋_GB2312"/>
    </w:r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标题1工作手册"/>
    <w:basedOn w:val="1"/>
    <w:link w:val="11"/>
    <w:qFormat/>
    <w:pPr>
      <w:keepNext w:val="0"/>
      <w:tabs>
        <w:tab w:val="left" w:pos="3223"/>
      </w:tabs>
      <w:kinsoku w:val="0"/>
      <w:overflowPunct w:val="0"/>
      <w:autoSpaceDE w:val="0"/>
      <w:autoSpaceDN w:val="0"/>
      <w:adjustRightInd w:val="0"/>
      <w:snapToGrid w:val="0"/>
      <w:spacing w:beforeLines="0" w:afterLines="0"/>
    </w:pPr>
    <w:rPr>
      <w:rFonts w:ascii="华文中宋" w:eastAsia="宋体" w:hAnsi="华文中宋"/>
      <w:bCs/>
      <w:kern w:val="44"/>
      <w:sz w:val="36"/>
      <w:szCs w:val="36"/>
    </w:rPr>
  </w:style>
  <w:style w:type="character" w:customStyle="1" w:styleId="a7">
    <w:name w:val="页眉 字符"/>
    <w:basedOn w:val="a0"/>
    <w:link w:val="a6"/>
    <w:qFormat/>
    <w:rPr>
      <w:rFonts w:ascii="Times New Roman" w:eastAsia="宋体" w:hAnsi="Times New Roman" w:cs="Times New Roman"/>
      <w:kern w:val="2"/>
      <w:sz w:val="18"/>
      <w:szCs w:val="18"/>
    </w:rPr>
  </w:style>
  <w:style w:type="character" w:customStyle="1" w:styleId="a5">
    <w:name w:val="页脚 字符"/>
    <w:basedOn w:val="a0"/>
    <w:link w:val="a4"/>
    <w:qFormat/>
    <w:rPr>
      <w:rFonts w:ascii="Times New Roman" w:eastAsia="宋体" w:hAnsi="Times New Roman" w:cs="Times New Roman"/>
      <w:kern w:val="2"/>
      <w:sz w:val="18"/>
      <w:szCs w:val="18"/>
    </w:rPr>
  </w:style>
  <w:style w:type="paragraph" w:customStyle="1" w:styleId="Style8">
    <w:name w:val="_Style 8"/>
    <w:basedOn w:val="a"/>
    <w:next w:val="a"/>
    <w:qFormat/>
    <w:pPr>
      <w:spacing w:line="360" w:lineRule="auto"/>
      <w:ind w:firstLineChars="200" w:firstLine="480"/>
    </w:pPr>
    <w:rPr>
      <w:rFonts w:ascii="仿宋_GB2312"/>
      <w:sz w:val="24"/>
    </w:rPr>
  </w:style>
  <w:style w:type="character" w:customStyle="1" w:styleId="11">
    <w:name w:val="标题1工作手册 字符"/>
    <w:basedOn w:val="a0"/>
    <w:link w:val="10"/>
    <w:qFormat/>
    <w:rPr>
      <w:rFonts w:ascii="华文中宋" w:eastAsia="宋体" w:hAnsi="华文中宋" w:cs="Times New Roman"/>
      <w:b/>
      <w:bCs/>
      <w:kern w:val="44"/>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ubmed.ncbi.nlm.nih.gov/28110209/" TargetMode="External"/><Relationship Id="rId13" Type="http://schemas.openxmlformats.org/officeDocument/2006/relationships/hyperlink" Target="https://pubmed.ncbi.nlm.nih.gov/24573249/" TargetMode="External"/><Relationship Id="rId3" Type="http://schemas.openxmlformats.org/officeDocument/2006/relationships/webSettings" Target="webSettings.xml"/><Relationship Id="rId7" Type="http://schemas.openxmlformats.org/officeDocument/2006/relationships/hyperlink" Target="https://pubmed.ncbi.nlm.nih.gov/28075448/" TargetMode="External"/><Relationship Id="rId12" Type="http://schemas.openxmlformats.org/officeDocument/2006/relationships/hyperlink" Target="https://pubmed.ncbi.nlm.nih.gov/2693107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ubmed.ncbi.nlm.nih.gov/23443577/" TargetMode="External"/><Relationship Id="rId11" Type="http://schemas.openxmlformats.org/officeDocument/2006/relationships/hyperlink" Target="https://pubmed.ncbi.nlm.nih.gov/28944843/" TargetMode="External"/><Relationship Id="rId5" Type="http://schemas.openxmlformats.org/officeDocument/2006/relationships/hyperlink" Target="https://pubmed.ncbi.nlm.nih.gov/32247269/" TargetMode="External"/><Relationship Id="rId15" Type="http://schemas.openxmlformats.org/officeDocument/2006/relationships/theme" Target="theme/theme1.xml"/><Relationship Id="rId10" Type="http://schemas.openxmlformats.org/officeDocument/2006/relationships/hyperlink" Target="https://pubmed.ncbi.nlm.nih.gov/33473354/" TargetMode="External"/><Relationship Id="rId4" Type="http://schemas.openxmlformats.org/officeDocument/2006/relationships/hyperlink" Target="https://pubmed.ncbi.nlm.nih.gov/32668391/" TargetMode="External"/><Relationship Id="rId9" Type="http://schemas.openxmlformats.org/officeDocument/2006/relationships/hyperlink" Target="https://pubmed.ncbi.nlm.nih.gov/23064791/"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3</Pages>
  <Words>675</Words>
  <Characters>3851</Characters>
  <Application>Microsoft Office Word</Application>
  <DocSecurity>0</DocSecurity>
  <Lines>32</Lines>
  <Paragraphs>9</Paragraphs>
  <ScaleCrop>false</ScaleCrop>
  <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CYC</dc:creator>
  <cp:lastModifiedBy>李田</cp:lastModifiedBy>
  <cp:revision>3</cp:revision>
  <dcterms:created xsi:type="dcterms:W3CDTF">2022-03-02T01:30:00Z</dcterms:created>
  <dcterms:modified xsi:type="dcterms:W3CDTF">2023-04-23T06:27:00Z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2052-5.1.1.7662</vt:lpwstr>
  </property>
  <property fmtid="{D5CDD505-2E9C-101B-9397-08002B2CF9AE}" pid="3" name="ICV">
    <vt:lpwstr>25DA9FBB3EF02AA41F772B647B498812</vt:lpwstr>
  </property>
</Properties>
</file>