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179"/>
        <w:tblW w:w="13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20"/>
        <w:gridCol w:w="770"/>
        <w:gridCol w:w="1854"/>
        <w:gridCol w:w="2164"/>
        <w:gridCol w:w="1235"/>
        <w:gridCol w:w="2628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</w:rPr>
              <w:t>附件2：实验室主要成员名单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性别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实验室职务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工作性质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职称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研究方向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蔡荣林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ronglincai@163.com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刘自兵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zibingliu@163.com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崔帅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副高级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  <w:r>
              <w:t xml:space="preserve"> </w:t>
            </w:r>
            <w:r>
              <w:rPr>
                <w:rFonts w:ascii="仿宋" w:hAnsi="仿宋" w:eastAsia="仿宋" w:cs="仿宋"/>
                <w:bCs/>
                <w:szCs w:val="21"/>
              </w:rPr>
              <w:t>eferson@sina.com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余情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副高级</w:t>
            </w:r>
          </w:p>
        </w:tc>
        <w:tc>
          <w:tcPr>
            <w:tcW w:w="262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yuqingtcm@126.com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王堃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中级</w:t>
            </w:r>
          </w:p>
        </w:tc>
        <w:tc>
          <w:tcPr>
            <w:tcW w:w="262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ahwk0819@ahtcm.edu.cn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左海燕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学术骨干/秘书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中级</w:t>
            </w:r>
          </w:p>
        </w:tc>
        <w:tc>
          <w:tcPr>
            <w:tcW w:w="262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1014458919@qq.com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高鹤仁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副高级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gaoheren19840513@126.com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刘磊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liuleizj@ahtcm.edu.cn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王洁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wangjie1506@126.com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周晟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学术骨干/秘书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经脉脏腑联系规律及其机制研究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zhousheng92@ahtcm.edu.cn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程红亮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针灸在防治脏腑病中的应用价值研究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chl.75811@163.com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朱才丰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针灸在防治脏腑病中的应用价值研究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xingzhezhu2008@sina.com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孙培养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针灸在防治脏腑病中的应用价值研究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1162749719@qq.com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张雷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正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针灸在防治脏腑病中的应用价值研究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zhanglei417417@163.com.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黄日龙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正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针灸在防治脏腑病中的应用价值研究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2749162@qq.com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吴生兵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经络穴位生物理化特性的检测技术及其应用研究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wsb922@126.com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王频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学术骨干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研究人员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经络穴位生物理化特性的检测技术及其应用研究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Wangpin1890@163.com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CF32C37"/>
    <w:rsid w:val="464F32D5"/>
    <w:rsid w:val="6C6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2024-04-03T14:01:00Z</dcterms:created>
  <dc:creator>DELL</dc:creator>
  <cp:lastModifiedBy>cy306</cp:lastModifiedBy>
  <dcterms:modified xsi:type="dcterms:W3CDTF">2024-04-07T07:34:20Z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D29351DE97AB4087935AA0D69076B1F5_12</vt:lpwstr>
  </property>
</Properties>
</file>